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70" w:line="300"/>
      </w:pPr>
      <w:r>
        <w:rPr>
          <w:rFonts w:ascii="Montserrat" w:cs="Montserrat" w:eastAsia="Montserrat" w:hAnsi="Montserrat"/>
          <w:color w:val="171717"/>
          <w:sz w:val="22"/>
          <w:szCs w:val="22"/>
        </w:rPr>
        <w:t xml:space="preserve">Builds the retention case for menopause provision from your own payroll data and turns it into a one- to two-page board paper.</w:t>
      </w:r>
    </w:p>
    <w:p>
      <w:pPr>
        <w:spacing w:after="240"/>
      </w:pPr>
      <w:r>
        <w:rPr>
          <w:rFonts w:ascii="Montserrat" w:cs="Montserrat" w:eastAsia="Montserrat" w:hAnsi="Montserrat"/>
          <w:b/>
          <w:bCs/>
          <w:color w:val="5D5D5C"/>
          <w:spacing w:val="24"/>
          <w:sz w:val="14"/>
          <w:szCs w:val="14"/>
        </w:rPr>
        <w:t xml:space="preserve">ACCURATE AS AT 5 NOVEMBER 2025   ·   2025/26 TAX YEAR   ·   VERSION 1.0</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E1E0DD" w:sz="4"/>
              <w:left w:val="single" w:color="E1E0DD" w:sz="4"/>
              <w:bottom w:val="single" w:color="E1E0DD" w:sz="4"/>
              <w:right w:val="single" w:color="E1E0DD" w:sz="4"/>
            </w:tcBorders>
            <w:shd w:fill="F5F5F3" w:color="auto" w:val="clear"/>
            <w:tcMar>
              <w:top w:type="dxa" w:w="160"/>
              <w:left w:type="dxa" w:w="200"/>
              <w:bottom w:type="dxa" w:w="120"/>
              <w:right w:type="dxa" w:w="200"/>
            </w:tcMar>
          </w:tcPr>
          <w:p>
            <w:pPr>
              <w:keepNext w:val="false"/>
              <w:spacing w:after="80"/>
            </w:pPr>
            <w:r>
              <w:rPr>
                <w:rFonts w:ascii="Montserrat" w:cs="Montserrat" w:eastAsia="Montserrat" w:hAnsi="Montserrat"/>
                <w:b/>
                <w:bCs/>
                <w:color w:val="FF4057"/>
                <w:spacing w:val="20"/>
                <w:sz w:val="14"/>
                <w:szCs w:val="14"/>
              </w:rPr>
              <w:t xml:space="preserve">GUIDANCE – DO NOT CIRCULATE</w:t>
            </w:r>
          </w:p>
          <w:p>
            <w:pPr>
              <w:keepNext w:val="false"/>
              <w:spacing w:after="80" w:line="300"/>
            </w:pPr>
            <w:r>
              <w:rPr>
                <w:rFonts w:ascii="Montserrat" w:cs="Montserrat" w:eastAsia="Montserrat" w:hAnsi="Montserrat"/>
                <w:i w:val="false"/>
                <w:iCs w:val="false"/>
                <w:color w:val="171717"/>
                <w:sz w:val="18"/>
                <w:szCs w:val="18"/>
              </w:rPr>
              <w:t xml:space="preserve">The Start here, Your workings and Be ready for sections are for you. Do not circulate them.</w:t>
            </w:r>
          </w:p>
        </w:tc>
      </w:tr>
    </w:tbl>
    <w:p>
      <w:pPr>
        <w:keepNext w:val="false"/>
        <w:spacing w:after="120"/>
      </w:pPr>
    </w:p>
    <w:p>
      <w:pPr>
        <w:keepNext/>
        <w:pBdr>
          <w:top w:val="single" w:color="171717" w:sz="12" w:space="8"/>
        </w:pBdr>
        <w:spacing w:after="120" w:before="360" w:line="264"/>
        <w:outlineLvl w:val="0"/>
      </w:pPr>
      <w:r>
        <w:rPr>
          <w:rFonts w:ascii="Gazpacho" w:cs="Gazpacho" w:eastAsia="Gazpacho" w:hAnsi="Gazpacho"/>
          <w:i w:val="false"/>
          <w:iCs w:val="false"/>
          <w:color w:val="171717"/>
          <w:sz w:val="36"/>
          <w:szCs w:val="36"/>
        </w:rPr>
        <w:t xml:space="preserve">Start here</w:t>
      </w:r>
    </w:p>
    <w:p>
      <w:pPr>
        <w:keepNext w:val="false"/>
        <w:spacing w:after="120" w:line="312"/>
      </w:pPr>
      <w:r>
        <w:rPr>
          <w:rFonts w:ascii="Montserrat" w:cs="Montserrat" w:eastAsia="Montserrat" w:hAnsi="Montserrat"/>
          <w:b/>
          <w:bCs/>
          <w:i w:val="false"/>
          <w:iCs w:val="false"/>
          <w:color w:val="171717"/>
          <w:sz w:val="19"/>
          <w:szCs w:val="19"/>
        </w:rPr>
        <w:t xml:space="preserve">1. Gather four data points</w:t>
      </w:r>
      <w:r>
        <w:rPr>
          <w:rFonts w:ascii="Montserrat" w:cs="Montserrat" w:eastAsia="Montserrat" w:hAnsi="Montserrat"/>
          <w:i w:val="false"/>
          <w:iCs w:val="false"/>
          <w:color w:val="171717"/>
          <w:sz w:val="19"/>
          <w:szCs w:val="19"/>
        </w:rPr>
        <w:t xml:space="preserve"> (below). Estimates are fine if you label them and show how you got them.</w:t>
      </w:r>
    </w:p>
    <w:p>
      <w:pPr>
        <w:keepNext w:val="false"/>
        <w:spacing w:after="120" w:line="312"/>
      </w:pPr>
      <w:r>
        <w:rPr>
          <w:rFonts w:ascii="Montserrat" w:cs="Montserrat" w:eastAsia="Montserrat" w:hAnsi="Montserrat"/>
          <w:b/>
          <w:bCs/>
          <w:i w:val="false"/>
          <w:iCs w:val="false"/>
          <w:color w:val="171717"/>
          <w:sz w:val="19"/>
          <w:szCs w:val="19"/>
        </w:rPr>
        <w:t xml:space="preserve">2. Complete your workings</w:t>
      </w:r>
      <w:r>
        <w:rPr>
          <w:rFonts w:ascii="Montserrat" w:cs="Montserrat" w:eastAsia="Montserrat" w:hAnsi="Montserrat"/>
          <w:i w:val="false"/>
          <w:iCs w:val="false"/>
          <w:color w:val="171717"/>
          <w:sz w:val="19"/>
          <w:szCs w:val="19"/>
        </w:rPr>
        <w:t xml:space="preserve"> in the next section. Each line feeds a placeholder in the board paper.</w:t>
      </w:r>
    </w:p>
    <w:p>
      <w:pPr>
        <w:keepNext/>
        <w:spacing w:after="120" w:line="312"/>
      </w:pPr>
      <w:r>
        <w:rPr>
          <w:rFonts w:ascii="Montserrat" w:cs="Montserrat" w:eastAsia="Montserrat" w:hAnsi="Montserrat"/>
          <w:b/>
          <w:bCs/>
          <w:i w:val="false"/>
          <w:iCs w:val="false"/>
          <w:color w:val="171717"/>
          <w:sz w:val="19"/>
          <w:szCs w:val="19"/>
        </w:rPr>
        <w:t xml:space="preserve">3. Fill in the board paper</w:t>
      </w:r>
      <w:r>
        <w:rPr>
          <w:rFonts w:ascii="Montserrat" w:cs="Montserrat" w:eastAsia="Montserrat" w:hAnsi="Montserrat"/>
          <w:i w:val="false"/>
          <w:iCs w:val="false"/>
          <w:color w:val="171717"/>
          <w:sz w:val="19"/>
          <w:szCs w:val="19"/>
        </w:rPr>
        <w:t xml:space="preserve"> and attach the appendix. Those two are what the board sees.</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3"/>
        <w:gridCol w:w="3181"/>
        <w:gridCol w:w="5812"/>
      </w:tblGrid>
      <w:tr>
        <w:trPr>
          <w:cantSplit/>
          <w:tblHeader/>
        </w:trPr>
        <w:tc>
          <w:tcPr>
            <w:tcW w:type="dxa" w:w="643"/>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w:t>
            </w:r>
          </w:p>
        </w:tc>
        <w:tc>
          <w:tcPr>
            <w:tcW w:type="dxa" w:w="3181"/>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DATA POINT</w:t>
            </w:r>
          </w:p>
        </w:tc>
        <w:tc>
          <w:tcPr>
            <w:tcW w:type="dxa" w:w="5812"/>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WHERE TO GET IT</w:t>
            </w:r>
          </w:p>
        </w:tc>
      </w:tr>
      <w:tr>
        <w:trPr>
          <w:cantSplit/>
        </w:trPr>
        <w:tc>
          <w:tcPr>
            <w:tcW w:type="dxa" w:w="643"/>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1</w:t>
            </w:r>
          </w:p>
        </w:tc>
        <w:tc>
          <w:tcPr>
            <w:tcW w:type="dxa" w:w="318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Headcount of women aged 45 to 55</w:t>
            </w:r>
          </w:p>
        </w:tc>
        <w:tc>
          <w:tcPr>
            <w:tcW w:type="dxa" w:w="581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HRIS or payroll. If you cannot run the exact band, use 45 to 54 and say so.</w:t>
            </w:r>
          </w:p>
        </w:tc>
      </w:tr>
      <w:tr>
        <w:trPr>
          <w:cantSplit/>
        </w:trPr>
        <w:tc>
          <w:tcPr>
            <w:tcW w:type="dxa" w:w="643"/>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2</w:t>
            </w:r>
          </w:p>
        </w:tc>
        <w:tc>
          <w:tcPr>
            <w:tcW w:type="dxa" w:w="318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Average base salary in that band</w:t>
            </w:r>
          </w:p>
        </w:tc>
        <w:tc>
          <w:tcPr>
            <w:tcW w:type="dxa" w:w="581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Payroll. Use base salary, not total employment cost, and say which you used.</w:t>
            </w:r>
          </w:p>
        </w:tc>
      </w:tr>
      <w:tr>
        <w:trPr>
          <w:cantSplit/>
        </w:trPr>
        <w:tc>
          <w:tcPr>
            <w:tcW w:type="dxa" w:w="643"/>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3</w:t>
            </w:r>
          </w:p>
        </w:tc>
        <w:tc>
          <w:tcPr>
            <w:tcW w:type="dxa" w:w="318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Voluntary attrition in that band</w:t>
            </w:r>
          </w:p>
        </w:tc>
        <w:tc>
          <w:tcPr>
            <w:tcW w:type="dxa" w:w="581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Leavers a year, excluding redundancy and dismissal. Use the whole-organisation rate if you cannot split it. Used as a sense-check in Your workings.</w:t>
            </w:r>
          </w:p>
        </w:tc>
      </w:tr>
      <w:tr>
        <w:trPr>
          <w:cantSplit/>
        </w:trPr>
        <w:tc>
          <w:tcPr>
            <w:tcW w:type="dxa" w:w="643"/>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4</w:t>
            </w:r>
          </w:p>
        </w:tc>
        <w:tc>
          <w:tcPr>
            <w:tcW w:type="dxa" w:w="318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Replacement cost per role at that level</w:t>
            </w:r>
          </w:p>
        </w:tc>
        <w:tc>
          <w:tcPr>
            <w:tcW w:type="dxa" w:w="581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Your own recruitment data, built up in Your workings. Exit-interview data on health-related leaving is a bonus.</w:t>
            </w:r>
          </w:p>
        </w:tc>
      </w:tr>
    </w:tbl>
    <w:p>
      <w:pPr>
        <w:keepNext w:val="false"/>
        <w:spacing w:after="120"/>
      </w:pPr>
    </w:p>
    <w:p>
      <w:pPr>
        <w:keepNext/>
        <w:spacing w:after="80" w:before="240" w:line="264"/>
        <w:outlineLvl w:val="1"/>
      </w:pPr>
      <w:r>
        <w:rPr>
          <w:rFonts w:ascii="Gazpacho" w:cs="Gazpacho" w:eastAsia="Gazpacho" w:hAnsi="Gazpacho"/>
          <w:i w:val="false"/>
          <w:iCs w:val="false"/>
          <w:color w:val="171717"/>
          <w:sz w:val="26"/>
          <w:szCs w:val="26"/>
        </w:rPr>
        <w:t xml:space="preserve">How to write it</w:t>
      </w:r>
    </w:p>
    <w:p>
      <w:pPr>
        <w:pStyle w:val="ListParagraph"/>
        <w:keepNext/>
        <w:numPr>
          <w:ilvl w:val="0"/>
          <w:numId w:val="2"/>
        </w:numPr>
        <w:spacing w:after="60" w:line="300"/>
      </w:pPr>
      <w:r>
        <w:rPr>
          <w:rFonts w:ascii="Montserrat" w:cs="Montserrat" w:eastAsia="Montserrat" w:hAnsi="Montserrat"/>
          <w:b/>
          <w:bCs/>
          <w:i w:val="false"/>
          <w:iCs w:val="false"/>
          <w:color w:val="171717"/>
          <w:sz w:val="19"/>
          <w:szCs w:val="19"/>
        </w:rPr>
        <w:t xml:space="preserve">Lead with replacement cost, not wellbeing.</w:t>
      </w:r>
      <w:r>
        <w:rPr>
          <w:rFonts w:ascii="Montserrat" w:cs="Montserrat" w:eastAsia="Montserrat" w:hAnsi="Montserrat"/>
          <w:i w:val="false"/>
          <w:iCs w:val="false"/>
          <w:color w:val="171717"/>
          <w:sz w:val="19"/>
          <w:szCs w:val="19"/>
        </w:rPr>
        <w:t xml:space="preserve"> Use benchmarking only if a director asks.</w:t>
      </w:r>
    </w:p>
    <w:p>
      <w:pPr>
        <w:pStyle w:val="ListParagraph"/>
        <w:keepNext w:val="false"/>
        <w:numPr>
          <w:ilvl w:val="0"/>
          <w:numId w:val="2"/>
        </w:numPr>
        <w:spacing w:after="60" w:line="300"/>
      </w:pPr>
      <w:r>
        <w:rPr>
          <w:rFonts w:ascii="Montserrat" w:cs="Montserrat" w:eastAsia="Montserrat" w:hAnsi="Montserrat"/>
          <w:b/>
          <w:bCs/>
          <w:i w:val="false"/>
          <w:iCs w:val="false"/>
          <w:color w:val="171717"/>
          <w:sz w:val="19"/>
          <w:szCs w:val="19"/>
        </w:rPr>
        <w:t xml:space="preserve">Conclusion first, workings on request.</w:t>
      </w:r>
      <w:r>
        <w:rPr>
          <w:rFonts w:ascii="Montserrat" w:cs="Montserrat" w:eastAsia="Montserrat" w:hAnsi="Montserrat"/>
          <w:i w:val="false"/>
          <w:iCs w:val="false"/>
          <w:color w:val="171717"/>
          <w:sz w:val="19"/>
          <w:szCs w:val="19"/>
        </w:rPr>
        <w:t xml:space="preserve"> Keep the paper to one page, two at most.</w:t>
      </w:r>
    </w:p>
    <w:p>
      <w:pPr>
        <w:pStyle w:val="ListParagraph"/>
        <w:keepNext w:val="false"/>
        <w:numPr>
          <w:ilvl w:val="0"/>
          <w:numId w:val="2"/>
        </w:numPr>
        <w:spacing w:after="60" w:line="300"/>
      </w:pPr>
      <w:r>
        <w:rPr>
          <w:rFonts w:ascii="Montserrat" w:cs="Montserrat" w:eastAsia="Montserrat" w:hAnsi="Montserrat"/>
          <w:b/>
          <w:bCs/>
          <w:i w:val="false"/>
          <w:iCs w:val="false"/>
          <w:color w:val="171717"/>
          <w:sz w:val="19"/>
          <w:szCs w:val="19"/>
        </w:rPr>
        <w:t xml:space="preserve">Label every estimate</w:t>
      </w:r>
      <w:r>
        <w:rPr>
          <w:rFonts w:ascii="Montserrat" w:cs="Montserrat" w:eastAsia="Montserrat" w:hAnsi="Montserrat"/>
          <w:i w:val="false"/>
          <w:iCs w:val="false"/>
          <w:color w:val="171717"/>
          <w:sz w:val="19"/>
          <w:szCs w:val="19"/>
        </w:rPr>
        <w:t xml:space="preserve"> and name its source in the same sentence.</w:t>
      </w:r>
    </w:p>
    <w:p>
      <w:pPr>
        <w:pStyle w:val="ListParagraph"/>
        <w:keepNext/>
        <w:numPr>
          <w:ilvl w:val="0"/>
          <w:numId w:val="2"/>
        </w:numPr>
        <w:spacing w:after="60" w:line="300"/>
      </w:pPr>
      <w:r>
        <w:rPr>
          <w:rFonts w:ascii="Montserrat" w:cs="Montserrat" w:eastAsia="Montserrat" w:hAnsi="Montserrat"/>
          <w:b/>
          <w:bCs/>
          <w:i w:val="false"/>
          <w:iCs w:val="false"/>
          <w:color w:val="171717"/>
          <w:sz w:val="19"/>
          <w:szCs w:val="19"/>
        </w:rPr>
        <w:t xml:space="preserve">Ask for a specific amount and a specific decision</w:t>
      </w:r>
      <w:r>
        <w:rPr>
          <w:rFonts w:ascii="Montserrat" w:cs="Montserrat" w:eastAsia="Montserrat" w:hAnsi="Montserrat"/>
          <w:i w:val="false"/>
          <w:iCs w:val="false"/>
          <w:color w:val="171717"/>
          <w:sz w:val="19"/>
          <w:szCs w:val="19"/>
        </w:rPr>
        <w:t xml:space="preserve">, not support in principle.</w:t>
      </w:r>
    </w:p>
    <w:p>
      <w:pPr>
        <w:pStyle w:val="ListParagraph"/>
        <w:keepNext w:val="false"/>
        <w:numPr>
          <w:ilvl w:val="0"/>
          <w:numId w:val="2"/>
        </w:numPr>
        <w:spacing w:after="60" w:line="300"/>
      </w:pPr>
      <w:r>
        <w:rPr>
          <w:rFonts w:ascii="Montserrat" w:cs="Montserrat" w:eastAsia="Montserrat" w:hAnsi="Montserrat"/>
          <w:b/>
          <w:bCs/>
          <w:i w:val="false"/>
          <w:iCs w:val="false"/>
          <w:color w:val="171717"/>
          <w:sz w:val="19"/>
          <w:szCs w:val="19"/>
        </w:rPr>
        <w:t xml:space="preserve">Take Your workings into the room</w:t>
      </w:r>
      <w:r>
        <w:rPr>
          <w:rFonts w:ascii="Montserrat" w:cs="Montserrat" w:eastAsia="Montserrat" w:hAnsi="Montserrat"/>
          <w:i w:val="false"/>
          <w:iCs w:val="false"/>
          <w:color w:val="171717"/>
          <w:sz w:val="19"/>
          <w:szCs w:val="19"/>
        </w:rPr>
        <w:t xml:space="preserve"> as a handout. Do not circulate it in advance.</w:t>
      </w:r>
    </w:p>
    <w:p>
      <w:pPr>
        <w:keepNext/>
        <w:spacing w:after="80" w:before="240" w:line="264"/>
        <w:outlineLvl w:val="1"/>
      </w:pPr>
      <w:r>
        <w:rPr>
          <w:rFonts w:ascii="Gazpacho" w:cs="Gazpacho" w:eastAsia="Gazpacho" w:hAnsi="Gazpacho"/>
          <w:i w:val="false"/>
          <w:iCs w:val="false"/>
          <w:color w:val="171717"/>
          <w:sz w:val="26"/>
          <w:szCs w:val="26"/>
        </w:rPr>
        <w:t xml:space="preserve">Placeholders</w:t>
      </w:r>
    </w:p>
    <w:p>
      <w:pPr>
        <w:keepNext w:val="false"/>
        <w:spacing w:after="120" w:line="312"/>
      </w:pPr>
      <w:r>
        <w:rPr>
          <w:rFonts w:ascii="Montserrat" w:cs="Montserrat" w:eastAsia="Montserrat" w:hAnsi="Montserrat"/>
          <w:i w:val="false"/>
          <w:iCs w:val="false"/>
          <w:color w:val="171717"/>
          <w:sz w:val="19"/>
          <w:szCs w:val="19"/>
        </w:rPr>
        <w:t xml:space="preserve">Each placeholder has one meaning. Numeric ones are listed against each line in Your workings. The others: </w:t>
      </w:r>
      <w:r>
        <w:rPr>
          <w:rFonts w:ascii="Montserrat" w:cs="Montserrat" w:eastAsia="Montserrat" w:hAnsi="Montserrat"/>
          <w:b/>
          <w:bCs/>
          <w:color w:val="FF4057"/>
          <w:sz w:val="19"/>
          <w:szCs w:val="19"/>
        </w:rPr>
        <w:t xml:space="preserve">[COMMITTEE]</w:t>
      </w:r>
      <w:r>
        <w:rPr>
          <w:rFonts w:ascii="Montserrat" w:cs="Montserrat" w:eastAsia="Montserrat" w:hAnsi="Montserrat"/>
          <w:i w:val="false"/>
          <w:iCs w:val="false"/>
          <w:color w:val="171717"/>
          <w:sz w:val="19"/>
          <w:szCs w:val="19"/>
        </w:rPr>
        <w:t xml:space="preserve"> Board or committee name · </w:t>
      </w:r>
      <w:r>
        <w:rPr>
          <w:rFonts w:ascii="Montserrat" w:cs="Montserrat" w:eastAsia="Montserrat" w:hAnsi="Montserrat"/>
          <w:b/>
          <w:bCs/>
          <w:color w:val="FF4057"/>
          <w:sz w:val="19"/>
          <w:szCs w:val="19"/>
        </w:rPr>
        <w:t xml:space="preserve">[AUTHOR]</w:t>
      </w:r>
      <w:r>
        <w:rPr>
          <w:rFonts w:ascii="Montserrat" w:cs="Montserrat" w:eastAsia="Montserrat" w:hAnsi="Montserrat"/>
          <w:i w:val="false"/>
          <w:iCs w:val="false"/>
          <w:color w:val="171717"/>
          <w:sz w:val="19"/>
          <w:szCs w:val="19"/>
        </w:rPr>
        <w:t xml:space="preserve"> your name and role · </w:t>
      </w:r>
      <w:r>
        <w:rPr>
          <w:rFonts w:ascii="Montserrat" w:cs="Montserrat" w:eastAsia="Montserrat" w:hAnsi="Montserrat"/>
          <w:b/>
          <w:bCs/>
          <w:color w:val="FF4057"/>
          <w:sz w:val="19"/>
          <w:szCs w:val="19"/>
        </w:rPr>
        <w:t xml:space="preserve">[PAPER_DATE]</w:t>
      </w:r>
      <w:r>
        <w:rPr>
          <w:rFonts w:ascii="Montserrat" w:cs="Montserrat" w:eastAsia="Montserrat" w:hAnsi="Montserrat"/>
          <w:i w:val="false"/>
          <w:iCs w:val="false"/>
          <w:color w:val="171717"/>
          <w:sz w:val="19"/>
          <w:szCs w:val="19"/>
        </w:rPr>
        <w:t xml:space="preserve"> date of the paper · </w:t>
      </w:r>
      <w:r>
        <w:rPr>
          <w:rFonts w:ascii="Montserrat" w:cs="Montserrat" w:eastAsia="Montserrat" w:hAnsi="Montserrat"/>
          <w:b/>
          <w:bCs/>
          <w:color w:val="FF4057"/>
          <w:sz w:val="19"/>
          <w:szCs w:val="19"/>
        </w:rPr>
        <w:t xml:space="preserve">[N_HIRES]</w:t>
      </w:r>
      <w:r>
        <w:rPr>
          <w:rFonts w:ascii="Montserrat" w:cs="Montserrat" w:eastAsia="Montserrat" w:hAnsi="Montserrat"/>
          <w:i w:val="false"/>
          <w:iCs w:val="false"/>
          <w:color w:val="171717"/>
          <w:sz w:val="19"/>
          <w:szCs w:val="19"/>
        </w:rPr>
        <w:t xml:space="preserve"> comparable hires used for G · </w:t>
      </w:r>
      <w:r>
        <w:rPr>
          <w:rFonts w:ascii="Montserrat" w:cs="Montserrat" w:eastAsia="Montserrat" w:hAnsi="Montserrat"/>
          <w:b/>
          <w:bCs/>
          <w:color w:val="FF4057"/>
          <w:sz w:val="19"/>
          <w:szCs w:val="19"/>
        </w:rPr>
        <w:t xml:space="preserve">[BUDGET_SOURCE]</w:t>
      </w:r>
      <w:r>
        <w:rPr>
          <w:rFonts w:ascii="Montserrat" w:cs="Montserrat" w:eastAsia="Montserrat" w:hAnsi="Montserrat"/>
          <w:i w:val="false"/>
          <w:iCs w:val="false"/>
          <w:color w:val="171717"/>
          <w:sz w:val="19"/>
          <w:szCs w:val="19"/>
        </w:rPr>
        <w:t xml:space="preserve"> where the money comes from · </w:t>
      </w:r>
      <w:r>
        <w:rPr>
          <w:rFonts w:ascii="Montserrat" w:cs="Montserrat" w:eastAsia="Montserrat" w:hAnsi="Montserrat"/>
          <w:b/>
          <w:bCs/>
          <w:color w:val="FF4057"/>
          <w:sz w:val="19"/>
          <w:szCs w:val="19"/>
        </w:rPr>
        <w:t xml:space="preserve">[HR_DAYS]</w:t>
      </w:r>
      <w:r>
        <w:rPr>
          <w:rFonts w:ascii="Montserrat" w:cs="Montserrat" w:eastAsia="Montserrat" w:hAnsi="Montserrat"/>
          <w:i w:val="false"/>
          <w:iCs w:val="false"/>
          <w:color w:val="171717"/>
          <w:sz w:val="19"/>
          <w:szCs w:val="19"/>
        </w:rPr>
        <w:t xml:space="preserve"> HR days to implement · </w:t>
      </w:r>
      <w:r>
        <w:rPr>
          <w:rFonts w:ascii="Montserrat" w:cs="Montserrat" w:eastAsia="Montserrat" w:hAnsi="Montserrat"/>
          <w:b/>
          <w:bCs/>
          <w:color w:val="FF4057"/>
          <w:sz w:val="19"/>
          <w:szCs w:val="19"/>
        </w:rPr>
        <w:t xml:space="preserve">[MGR_HOURS]</w:t>
      </w:r>
      <w:r>
        <w:rPr>
          <w:rFonts w:ascii="Montserrat" w:cs="Montserrat" w:eastAsia="Montserrat" w:hAnsi="Montserrat"/>
          <w:i w:val="false"/>
          <w:iCs w:val="false"/>
          <w:color w:val="171717"/>
          <w:sz w:val="19"/>
          <w:szCs w:val="19"/>
        </w:rPr>
        <w:t xml:space="preserve"> manager training hours · </w:t>
      </w:r>
      <w:r>
        <w:rPr>
          <w:rFonts w:ascii="Montserrat" w:cs="Montserrat" w:eastAsia="Montserrat" w:hAnsi="Montserrat"/>
          <w:b/>
          <w:bCs/>
          <w:color w:val="FF4057"/>
          <w:sz w:val="19"/>
          <w:szCs w:val="19"/>
        </w:rPr>
        <w:t xml:space="preserve">[START_DATE]</w:t>
      </w:r>
      <w:r>
        <w:rPr>
          <w:rFonts w:ascii="Montserrat" w:cs="Montserrat" w:eastAsia="Montserrat" w:hAnsi="Montserrat"/>
          <w:i w:val="false"/>
          <w:iCs w:val="false"/>
          <w:color w:val="171717"/>
          <w:sz w:val="19"/>
          <w:szCs w:val="19"/>
        </w:rPr>
        <w:t xml:space="preserve"> start date · </w:t>
      </w:r>
      <w:r>
        <w:rPr>
          <w:rFonts w:ascii="Montserrat" w:cs="Montserrat" w:eastAsia="Montserrat" w:hAnsi="Montserrat"/>
          <w:b/>
          <w:bCs/>
          <w:color w:val="FF4057"/>
          <w:sz w:val="19"/>
          <w:szCs w:val="19"/>
        </w:rPr>
        <w:t xml:space="preserve">[REVIEW_DATE]</w:t>
      </w:r>
      <w:r>
        <w:rPr>
          <w:rFonts w:ascii="Montserrat" w:cs="Montserrat" w:eastAsia="Montserrat" w:hAnsi="Montserrat"/>
          <w:i w:val="false"/>
          <w:iCs w:val="false"/>
          <w:color w:val="171717"/>
          <w:sz w:val="19"/>
          <w:szCs w:val="19"/>
        </w:rPr>
        <w:t xml:space="preserve"> date the 12-month review is reported · </w:t>
      </w:r>
      <w:r>
        <w:rPr>
          <w:rFonts w:ascii="Montserrat" w:cs="Montserrat" w:eastAsia="Montserrat" w:hAnsi="Montserrat"/>
          <w:b/>
          <w:bCs/>
          <w:color w:val="FF4057"/>
          <w:sz w:val="19"/>
          <w:szCs w:val="19"/>
        </w:rPr>
        <w:t xml:space="preserve">[MONTH_1]</w:t>
      </w:r>
      <w:r>
        <w:rPr>
          <w:rFonts w:ascii="Montserrat" w:cs="Montserrat" w:eastAsia="Montserrat" w:hAnsi="Montserrat"/>
          <w:i w:val="false"/>
          <w:iCs w:val="false"/>
          <w:color w:val="171717"/>
          <w:sz w:val="19"/>
          <w:szCs w:val="19"/>
        </w:rPr>
        <w:t xml:space="preserve"> to </w:t>
      </w:r>
      <w:r>
        <w:rPr>
          <w:rFonts w:ascii="Montserrat" w:cs="Montserrat" w:eastAsia="Montserrat" w:hAnsi="Montserrat"/>
          <w:b/>
          <w:bCs/>
          <w:color w:val="FF4057"/>
          <w:sz w:val="19"/>
          <w:szCs w:val="19"/>
        </w:rPr>
        <w:t xml:space="preserve">[MONTH_5]</w:t>
      </w:r>
      <w:r>
        <w:rPr>
          <w:rFonts w:ascii="Montserrat" w:cs="Montserrat" w:eastAsia="Montserrat" w:hAnsi="Montserrat"/>
          <w:i w:val="false"/>
          <w:iCs w:val="false"/>
          <w:color w:val="171717"/>
          <w:sz w:val="19"/>
          <w:szCs w:val="19"/>
        </w:rPr>
        <w:t xml:space="preserve"> milestone months · </w:t>
      </w:r>
      <w:r>
        <w:rPr>
          <w:rFonts w:ascii="Montserrat" w:cs="Montserrat" w:eastAsia="Montserrat" w:hAnsi="Montserrat"/>
          <w:b/>
          <w:bCs/>
          <w:color w:val="FF4057"/>
          <w:sz w:val="19"/>
          <w:szCs w:val="19"/>
        </w:rPr>
        <w:t xml:space="preserve">[250+ ONLY]</w:t>
      </w:r>
      <w:r>
        <w:rPr>
          <w:rFonts w:ascii="Montserrat" w:cs="Montserrat" w:eastAsia="Montserrat" w:hAnsi="Montserrat"/>
          <w:i w:val="false"/>
          <w:iCs w:val="false"/>
          <w:color w:val="171717"/>
          <w:sz w:val="19"/>
          <w:szCs w:val="19"/>
        </w:rPr>
        <w:t xml:space="preserve"> keep the item only if you employ 250 or more, then delete the marker.</w:t>
      </w:r>
    </w:p>
    <w:p>
      <w:pPr>
        <w:keepNext/>
        <w:pBdr>
          <w:top w:val="single" w:color="171717" w:sz="12" w:space="8"/>
        </w:pBdr>
        <w:spacing w:after="120" w:before="360" w:line="264"/>
        <w:outlineLvl w:val="0"/>
      </w:pPr>
      <w:r>
        <w:rPr>
          <w:rFonts w:ascii="Gazpacho" w:cs="Gazpacho" w:eastAsia="Gazpacho" w:hAnsi="Gazpacho"/>
          <w:i w:val="false"/>
          <w:iCs w:val="false"/>
          <w:color w:val="171717"/>
          <w:sz w:val="36"/>
          <w:szCs w:val="36"/>
        </w:rPr>
        <w:t xml:space="preserve">Your workings</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E1E0DD" w:sz="4"/>
              <w:left w:val="single" w:color="E1E0DD" w:sz="4"/>
              <w:bottom w:val="single" w:color="E1E0DD" w:sz="4"/>
              <w:right w:val="single" w:color="E1E0DD" w:sz="4"/>
            </w:tcBorders>
            <w:shd w:fill="F5F5F3" w:color="auto" w:val="clear"/>
            <w:tcMar>
              <w:top w:type="dxa" w:w="160"/>
              <w:left w:type="dxa" w:w="200"/>
              <w:bottom w:type="dxa" w:w="120"/>
              <w:right w:type="dxa" w:w="200"/>
            </w:tcMar>
          </w:tcPr>
          <w:p>
            <w:pPr>
              <w:keepNext w:val="false"/>
              <w:spacing w:after="80"/>
            </w:pPr>
            <w:r>
              <w:rPr>
                <w:rFonts w:ascii="Montserrat" w:cs="Montserrat" w:eastAsia="Montserrat" w:hAnsi="Montserrat"/>
                <w:b/>
                <w:bCs/>
                <w:color w:val="FF4057"/>
                <w:spacing w:val="20"/>
                <w:sz w:val="14"/>
                <w:szCs w:val="14"/>
              </w:rPr>
              <w:t xml:space="preserve">GUIDANCE · YOUR WORKINGS</w:t>
            </w:r>
          </w:p>
          <w:p>
            <w:pPr>
              <w:keepNext/>
              <w:spacing w:after="80" w:line="300"/>
            </w:pPr>
            <w:r>
              <w:rPr>
                <w:rFonts w:ascii="Montserrat" w:cs="Montserrat" w:eastAsia="Montserrat" w:hAnsi="Montserrat"/>
                <w:i w:val="false"/>
                <w:iCs w:val="false"/>
                <w:color w:val="171717"/>
                <w:sz w:val="18"/>
                <w:szCs w:val="18"/>
              </w:rPr>
              <w:t xml:space="preserve">Replace every example figure with your own.</w:t>
            </w:r>
          </w:p>
        </w:tc>
      </w:tr>
    </w:tbl>
    <w:p>
      <w:pPr>
        <w:keepNext/>
        <w:spacing w:after="120"/>
      </w:pPr>
    </w:p>
    <w:p>
      <w:pPr>
        <w:keepNext/>
        <w:spacing w:after="120" w:line="312"/>
      </w:pPr>
      <w:r>
        <w:rPr>
          <w:rFonts w:ascii="Montserrat" w:cs="Montserrat" w:eastAsia="Montserrat" w:hAnsi="Montserrat"/>
          <w:i w:val="false"/>
          <w:iCs w:val="false"/>
          <w:color w:val="171717"/>
          <w:sz w:val="19"/>
          <w:szCs w:val="19"/>
        </w:rPr>
        <w:t xml:space="preserve">The example is an illustrative employer of 1,200 people. Do not present its figures. Carry each line into the placeholder shown.</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31"/>
        <w:gridCol w:w="2824"/>
        <w:gridCol w:w="1156"/>
        <w:gridCol w:w="2325"/>
        <w:gridCol w:w="2799"/>
      </w:tblGrid>
      <w:tr>
        <w:trPr>
          <w:cantSplit/>
          <w:tblHeader/>
        </w:trPr>
        <w:tc>
          <w:tcPr>
            <w:tcW w:type="dxa" w:w="531"/>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p>
        </w:tc>
        <w:tc>
          <w:tcPr>
            <w:tcW w:type="dxa" w:w="2824"/>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LINE</w:t>
            </w:r>
          </w:p>
        </w:tc>
        <w:tc>
          <w:tcPr>
            <w:tcW w:type="dxa" w:w="1156"/>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YOUR FIGURE</w:t>
            </w:r>
          </w:p>
        </w:tc>
        <w:tc>
          <w:tcPr>
            <w:tcW w:type="dxa" w:w="2325"/>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ILLUSTRATIVE EXAMPLE</w:t>
            </w:r>
          </w:p>
        </w:tc>
        <w:tc>
          <w:tcPr>
            <w:tcW w:type="dxa" w:w="2799"/>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PLACEHOLDER</w:t>
            </w:r>
          </w:p>
        </w:tc>
      </w:tr>
      <w:tr>
        <w:trPr>
          <w:cantSplit/>
        </w:trPr>
        <w:tc>
          <w:tcPr>
            <w:tcW w:type="dxa" w:w="53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i w:val="false"/>
                <w:iCs w:val="false"/>
                <w:color w:val="171717"/>
                <w:sz w:val="17"/>
                <w:szCs w:val="17"/>
              </w:rPr>
              <w:t xml:space="preserve">A</w:t>
            </w:r>
          </w:p>
        </w:tc>
        <w:tc>
          <w:tcPr>
            <w:tcW w:type="dxa" w:w="282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Total headcount</w:t>
            </w:r>
          </w:p>
        </w:tc>
        <w:tc>
          <w:tcPr>
            <w:tcW w:type="dxa" w:w="115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p>
        </w:tc>
        <w:tc>
          <w:tcPr>
            <w:tcW w:type="dxa" w:w="232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1,200</w:t>
            </w:r>
          </w:p>
        </w:tc>
        <w:tc>
          <w:tcPr>
            <w:tcW w:type="dxa" w:w="279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w:t>
            </w:r>
          </w:p>
        </w:tc>
      </w:tr>
      <w:tr>
        <w:trPr>
          <w:cantSplit/>
        </w:trPr>
        <w:tc>
          <w:tcPr>
            <w:tcW w:type="dxa" w:w="53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i w:val="false"/>
                <w:iCs w:val="false"/>
                <w:color w:val="171717"/>
                <w:sz w:val="17"/>
                <w:szCs w:val="17"/>
              </w:rPr>
              <w:t xml:space="preserve">B</w:t>
            </w:r>
          </w:p>
        </w:tc>
        <w:tc>
          <w:tcPr>
            <w:tcW w:type="dxa" w:w="282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Women aged 45 to 55 (data point 1)</w:t>
            </w:r>
          </w:p>
        </w:tc>
        <w:tc>
          <w:tcPr>
            <w:tcW w:type="dxa" w:w="115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p>
        </w:tc>
        <w:tc>
          <w:tcPr>
            <w:tcW w:type="dxa" w:w="232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168 (14% of A)</w:t>
            </w:r>
          </w:p>
        </w:tc>
        <w:tc>
          <w:tcPr>
            <w:tcW w:type="dxa" w:w="279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[N_BAND]</w:t>
            </w:r>
          </w:p>
        </w:tc>
      </w:tr>
      <w:tr>
        <w:trPr>
          <w:cantSplit/>
        </w:trPr>
        <w:tc>
          <w:tcPr>
            <w:tcW w:type="dxa" w:w="53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i w:val="false"/>
                <w:iCs w:val="false"/>
                <w:color w:val="171717"/>
                <w:sz w:val="17"/>
                <w:szCs w:val="17"/>
              </w:rPr>
              <w:t xml:space="preserve">C</w:t>
            </w:r>
          </w:p>
        </w:tc>
        <w:tc>
          <w:tcPr>
            <w:tcW w:type="dxa" w:w="282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Of B, in management or specialist roles</w:t>
            </w:r>
          </w:p>
        </w:tc>
        <w:tc>
          <w:tcPr>
            <w:tcW w:type="dxa" w:w="115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p>
        </w:tc>
        <w:tc>
          <w:tcPr>
            <w:tcW w:type="dxa" w:w="232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61</w:t>
            </w:r>
          </w:p>
        </w:tc>
        <w:tc>
          <w:tcPr>
            <w:tcW w:type="dxa" w:w="279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[N_MGMT]</w:t>
            </w:r>
          </w:p>
        </w:tc>
      </w:tr>
      <w:tr>
        <w:trPr>
          <w:cantSplit/>
        </w:trPr>
        <w:tc>
          <w:tcPr>
            <w:tcW w:type="dxa" w:w="53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i w:val="false"/>
                <w:iCs w:val="false"/>
                <w:color w:val="171717"/>
                <w:sz w:val="17"/>
                <w:szCs w:val="17"/>
              </w:rPr>
              <w:t xml:space="preserve">D</w:t>
            </w:r>
          </w:p>
        </w:tc>
        <w:tc>
          <w:tcPr>
            <w:tcW w:type="dxa" w:w="282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Average base salary in B (data point 2)</w:t>
            </w:r>
          </w:p>
        </w:tc>
        <w:tc>
          <w:tcPr>
            <w:tcW w:type="dxa" w:w="115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p>
        </w:tc>
        <w:tc>
          <w:tcPr>
            <w:tcW w:type="dxa" w:w="232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£48,000</w:t>
            </w:r>
          </w:p>
        </w:tc>
        <w:tc>
          <w:tcPr>
            <w:tcW w:type="dxa" w:w="279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[SALARY]</w:t>
            </w:r>
          </w:p>
        </w:tc>
      </w:tr>
      <w:tr>
        <w:trPr>
          <w:cantSplit/>
        </w:trPr>
        <w:tc>
          <w:tcPr>
            <w:tcW w:type="dxa" w:w="53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i w:val="false"/>
                <w:iCs w:val="false"/>
                <w:color w:val="171717"/>
                <w:sz w:val="17"/>
                <w:szCs w:val="17"/>
              </w:rPr>
              <w:t xml:space="preserve">E</w:t>
            </w:r>
          </w:p>
        </w:tc>
        <w:tc>
          <w:tcPr>
            <w:tcW w:type="dxa" w:w="282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Annual attributable exit rate (note 1)</w:t>
            </w:r>
          </w:p>
        </w:tc>
        <w:tc>
          <w:tcPr>
            <w:tcW w:type="dxa" w:w="115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p>
        </w:tc>
        <w:tc>
          <w:tcPr>
            <w:tcW w:type="dxa" w:w="232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0.6% to 1%</w:t>
            </w:r>
          </w:p>
        </w:tc>
        <w:tc>
          <w:tcPr>
            <w:tcW w:type="dxa" w:w="279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[RATE_LOW]</w:t>
            </w:r>
            <w:r>
              <w:rPr>
                <w:rFonts w:ascii="Montserrat" w:cs="Montserrat" w:eastAsia="Montserrat" w:hAnsi="Montserrat"/>
                <w:i w:val="false"/>
                <w:iCs w:val="false"/>
                <w:color w:val="171717"/>
                <w:sz w:val="17"/>
                <w:szCs w:val="17"/>
              </w:rPr>
              <w:t xml:space="preserve">, </w:t>
            </w:r>
            <w:r>
              <w:rPr>
                <w:rFonts w:ascii="Montserrat" w:cs="Montserrat" w:eastAsia="Montserrat" w:hAnsi="Montserrat"/>
                <w:b/>
                <w:bCs/>
                <w:color w:val="FF4057"/>
                <w:sz w:val="17"/>
                <w:szCs w:val="17"/>
              </w:rPr>
              <w:t xml:space="preserve">[RATE_HIGH]</w:t>
            </w:r>
          </w:p>
        </w:tc>
      </w:tr>
      <w:tr>
        <w:trPr>
          <w:cantSplit/>
        </w:trPr>
        <w:tc>
          <w:tcPr>
            <w:tcW w:type="dxa" w:w="53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i w:val="false"/>
                <w:iCs w:val="false"/>
                <w:color w:val="171717"/>
                <w:sz w:val="17"/>
                <w:szCs w:val="17"/>
              </w:rPr>
              <w:t xml:space="preserve">F</w:t>
            </w:r>
          </w:p>
        </w:tc>
        <w:tc>
          <w:tcPr>
            <w:tcW w:type="dxa" w:w="282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Modelled exits a year (B × E)</w:t>
            </w:r>
          </w:p>
        </w:tc>
        <w:tc>
          <w:tcPr>
            <w:tcW w:type="dxa" w:w="115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p>
        </w:tc>
        <w:tc>
          <w:tcPr>
            <w:tcW w:type="dxa" w:w="232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1.0 to 1.7</w:t>
            </w:r>
          </w:p>
        </w:tc>
        <w:tc>
          <w:tcPr>
            <w:tcW w:type="dxa" w:w="279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[EXITS_LOW]</w:t>
            </w:r>
            <w:r>
              <w:rPr>
                <w:rFonts w:ascii="Montserrat" w:cs="Montserrat" w:eastAsia="Montserrat" w:hAnsi="Montserrat"/>
                <w:i w:val="false"/>
                <w:iCs w:val="false"/>
                <w:color w:val="171717"/>
                <w:sz w:val="17"/>
                <w:szCs w:val="17"/>
              </w:rPr>
              <w:t xml:space="preserve">, </w:t>
            </w:r>
            <w:r>
              <w:rPr>
                <w:rFonts w:ascii="Montserrat" w:cs="Montserrat" w:eastAsia="Montserrat" w:hAnsi="Montserrat"/>
                <w:b/>
                <w:bCs/>
                <w:color w:val="FF4057"/>
                <w:sz w:val="17"/>
                <w:szCs w:val="17"/>
              </w:rPr>
              <w:t xml:space="preserve">[EXITS_HIGH]</w:t>
            </w:r>
          </w:p>
        </w:tc>
      </w:tr>
      <w:tr>
        <w:trPr>
          <w:cantSplit/>
        </w:trPr>
        <w:tc>
          <w:tcPr>
            <w:tcW w:type="dxa" w:w="53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i w:val="false"/>
                <w:iCs w:val="false"/>
                <w:color w:val="171717"/>
                <w:sz w:val="17"/>
                <w:szCs w:val="17"/>
              </w:rPr>
              <w:t xml:space="preserve">G</w:t>
            </w:r>
          </w:p>
        </w:tc>
        <w:tc>
          <w:tcPr>
            <w:tcW w:type="dxa" w:w="282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Cost per exit (build-up below)</w:t>
            </w:r>
          </w:p>
        </w:tc>
        <w:tc>
          <w:tcPr>
            <w:tcW w:type="dxa" w:w="115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p>
        </w:tc>
        <w:tc>
          <w:tcPr>
            <w:tcW w:type="dxa" w:w="232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£35,000</w:t>
            </w:r>
          </w:p>
        </w:tc>
        <w:tc>
          <w:tcPr>
            <w:tcW w:type="dxa" w:w="279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[EXIT_COST]</w:t>
            </w:r>
          </w:p>
        </w:tc>
      </w:tr>
      <w:tr>
        <w:trPr>
          <w:cantSplit/>
        </w:trPr>
        <w:tc>
          <w:tcPr>
            <w:tcW w:type="dxa" w:w="53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i w:val="false"/>
                <w:iCs w:val="false"/>
                <w:color w:val="171717"/>
                <w:sz w:val="17"/>
                <w:szCs w:val="17"/>
              </w:rPr>
              <w:t xml:space="preserve">H</w:t>
            </w:r>
          </w:p>
        </w:tc>
        <w:tc>
          <w:tcPr>
            <w:tcW w:type="dxa" w:w="282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Annual exposure (F × G, rounded)</w:t>
            </w:r>
          </w:p>
        </w:tc>
        <w:tc>
          <w:tcPr>
            <w:tcW w:type="dxa" w:w="115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p>
        </w:tc>
        <w:tc>
          <w:tcPr>
            <w:tcW w:type="dxa" w:w="232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£35,000 to £59,000</w:t>
            </w:r>
          </w:p>
        </w:tc>
        <w:tc>
          <w:tcPr>
            <w:tcW w:type="dxa" w:w="279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[EXPOSURE_LOW]</w:t>
            </w:r>
            <w:r>
              <w:rPr>
                <w:rFonts w:ascii="Montserrat" w:cs="Montserrat" w:eastAsia="Montserrat" w:hAnsi="Montserrat"/>
                <w:i w:val="false"/>
                <w:iCs w:val="false"/>
                <w:color w:val="171717"/>
                <w:sz w:val="17"/>
                <w:szCs w:val="17"/>
              </w:rPr>
              <w:t xml:space="preserve">, </w:t>
            </w:r>
            <w:r>
              <w:rPr>
                <w:rFonts w:ascii="Montserrat" w:cs="Montserrat" w:eastAsia="Montserrat" w:hAnsi="Montserrat"/>
                <w:b/>
                <w:bCs/>
                <w:color w:val="FF4057"/>
                <w:sz w:val="17"/>
                <w:szCs w:val="17"/>
              </w:rPr>
              <w:t xml:space="preserve">[EXPOSURE_HIGH]</w:t>
            </w:r>
          </w:p>
        </w:tc>
      </w:tr>
      <w:tr>
        <w:trPr>
          <w:cantSplit/>
        </w:trPr>
        <w:tc>
          <w:tcPr>
            <w:tcW w:type="dxa" w:w="53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i w:val="false"/>
                <w:iCs w:val="false"/>
                <w:color w:val="171717"/>
                <w:sz w:val="17"/>
                <w:szCs w:val="17"/>
              </w:rPr>
              <w:t xml:space="preserve">I</w:t>
            </w:r>
          </w:p>
        </w:tc>
        <w:tc>
          <w:tcPr>
            <w:tcW w:type="dxa" w:w="282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Programme cost, year one (build-up below)</w:t>
            </w:r>
          </w:p>
        </w:tc>
        <w:tc>
          <w:tcPr>
            <w:tcW w:type="dxa" w:w="115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p>
        </w:tc>
        <w:tc>
          <w:tcPr>
            <w:tcW w:type="dxa" w:w="232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£35,000</w:t>
            </w:r>
          </w:p>
        </w:tc>
        <w:tc>
          <w:tcPr>
            <w:tcW w:type="dxa" w:w="279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[YEAR1]</w:t>
            </w:r>
          </w:p>
        </w:tc>
      </w:tr>
      <w:tr>
        <w:trPr>
          <w:cantSplit/>
        </w:trPr>
        <w:tc>
          <w:tcPr>
            <w:tcW w:type="dxa" w:w="53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i w:val="false"/>
                <w:iCs w:val="false"/>
                <w:color w:val="171717"/>
                <w:sz w:val="17"/>
                <w:szCs w:val="17"/>
              </w:rPr>
              <w:t xml:space="preserve">J</w:t>
            </w:r>
          </w:p>
        </w:tc>
        <w:tc>
          <w:tcPr>
            <w:tcW w:type="dxa" w:w="282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Programme cost, each later year</w:t>
            </w:r>
          </w:p>
        </w:tc>
        <w:tc>
          <w:tcPr>
            <w:tcW w:type="dxa" w:w="115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p>
        </w:tc>
        <w:tc>
          <w:tcPr>
            <w:tcW w:type="dxa" w:w="232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£25,000</w:t>
            </w:r>
          </w:p>
        </w:tc>
        <w:tc>
          <w:tcPr>
            <w:tcW w:type="dxa" w:w="279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[RECURRING]</w:t>
            </w:r>
          </w:p>
        </w:tc>
      </w:tr>
      <w:tr>
        <w:trPr>
          <w:cantSplit/>
        </w:trPr>
        <w:tc>
          <w:tcPr>
            <w:tcW w:type="dxa" w:w="53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i w:val="false"/>
                <w:iCs w:val="false"/>
                <w:color w:val="171717"/>
                <w:sz w:val="17"/>
                <w:szCs w:val="17"/>
              </w:rPr>
              <w:t xml:space="preserve">K</w:t>
            </w:r>
          </w:p>
        </w:tc>
        <w:tc>
          <w:tcPr>
            <w:tcW w:type="dxa" w:w="282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i w:val="false"/>
                <w:iCs w:val="false"/>
                <w:color w:val="171717"/>
                <w:sz w:val="17"/>
                <w:szCs w:val="17"/>
              </w:rPr>
              <w:t xml:space="preserve">Exits that cover year one (I ÷ G)</w:t>
            </w:r>
          </w:p>
        </w:tc>
        <w:tc>
          <w:tcPr>
            <w:tcW w:type="dxa" w:w="115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p>
        </w:tc>
        <w:tc>
          <w:tcPr>
            <w:tcW w:type="dxa" w:w="232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i w:val="false"/>
                <w:iCs w:val="false"/>
                <w:color w:val="171717"/>
                <w:sz w:val="17"/>
                <w:szCs w:val="17"/>
              </w:rPr>
              <w:t xml:space="preserve">1.0</w:t>
            </w:r>
          </w:p>
        </w:tc>
        <w:tc>
          <w:tcPr>
            <w:tcW w:type="dxa" w:w="279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[BREAKEVEN_Y1]</w:t>
            </w:r>
          </w:p>
        </w:tc>
      </w:tr>
      <w:tr>
        <w:trPr>
          <w:cantSplit/>
        </w:trPr>
        <w:tc>
          <w:tcPr>
            <w:tcW w:type="dxa" w:w="53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i w:val="false"/>
                <w:iCs w:val="false"/>
                <w:color w:val="171717"/>
                <w:sz w:val="17"/>
                <w:szCs w:val="17"/>
              </w:rPr>
              <w:t xml:space="preserve">L</w:t>
            </w:r>
          </w:p>
        </w:tc>
        <w:tc>
          <w:tcPr>
            <w:tcW w:type="dxa" w:w="282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i w:val="false"/>
                <w:iCs w:val="false"/>
                <w:color w:val="171717"/>
                <w:sz w:val="17"/>
                <w:szCs w:val="17"/>
              </w:rPr>
              <w:t xml:space="preserve">Exits a year that cover later years (J ÷ G)</w:t>
            </w:r>
          </w:p>
        </w:tc>
        <w:tc>
          <w:tcPr>
            <w:tcW w:type="dxa" w:w="115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p>
        </w:tc>
        <w:tc>
          <w:tcPr>
            <w:tcW w:type="dxa" w:w="232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i w:val="false"/>
                <w:iCs w:val="false"/>
                <w:color w:val="171717"/>
                <w:sz w:val="17"/>
                <w:szCs w:val="17"/>
              </w:rPr>
              <w:t xml:space="preserve">0.7</w:t>
            </w:r>
          </w:p>
        </w:tc>
        <w:tc>
          <w:tcPr>
            <w:tcW w:type="dxa" w:w="279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[BREAKEVEN_RECUR]</w:t>
            </w:r>
          </w:p>
        </w:tc>
      </w:tr>
      <w:tr>
        <w:trPr>
          <w:cantSplit/>
        </w:trPr>
        <w:tc>
          <w:tcPr>
            <w:tcW w:type="dxa" w:w="53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i w:val="false"/>
                <w:iCs w:val="false"/>
                <w:color w:val="171717"/>
                <w:sz w:val="17"/>
                <w:szCs w:val="17"/>
              </w:rPr>
              <w:t xml:space="preserve">M</w:t>
            </w:r>
          </w:p>
        </w:tc>
        <w:tc>
          <w:tcPr>
            <w:tcW w:type="dxa" w:w="282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Year-one cost per employee (I ÷ A)</w:t>
            </w:r>
          </w:p>
        </w:tc>
        <w:tc>
          <w:tcPr>
            <w:tcW w:type="dxa" w:w="115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p>
        </w:tc>
        <w:tc>
          <w:tcPr>
            <w:tcW w:type="dxa" w:w="232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£29</w:t>
            </w:r>
          </w:p>
        </w:tc>
        <w:tc>
          <w:tcPr>
            <w:tcW w:type="dxa" w:w="279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[PER_HEAD]</w:t>
            </w:r>
          </w:p>
        </w:tc>
      </w:tr>
      <w:tr>
        <w:trPr>
          <w:cantSplit/>
        </w:trPr>
        <w:tc>
          <w:tcPr>
            <w:tcW w:type="dxa" w:w="53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i w:val="false"/>
                <w:iCs w:val="false"/>
                <w:color w:val="171717"/>
                <w:sz w:val="17"/>
                <w:szCs w:val="17"/>
              </w:rPr>
              <w:t xml:space="preserve">N</w:t>
            </w:r>
          </w:p>
        </w:tc>
        <w:tc>
          <w:tcPr>
            <w:tcW w:type="dxa" w:w="282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Year-one cost per woman in B (I ÷ B)</w:t>
            </w:r>
          </w:p>
        </w:tc>
        <w:tc>
          <w:tcPr>
            <w:tcW w:type="dxa" w:w="115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p>
        </w:tc>
        <w:tc>
          <w:tcPr>
            <w:tcW w:type="dxa" w:w="232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£208</w:t>
            </w:r>
          </w:p>
        </w:tc>
        <w:tc>
          <w:tcPr>
            <w:tcW w:type="dxa" w:w="279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[PER_BAND_HEAD]</w:t>
            </w:r>
          </w:p>
        </w:tc>
      </w:tr>
    </w:tbl>
    <w:p>
      <w:pPr>
        <w:keepNext w:val="false"/>
        <w:spacing w:after="120"/>
      </w:pPr>
    </w:p>
    <w:p>
      <w:pPr>
        <w:keepNext/>
        <w:spacing w:after="80" w:before="240" w:line="264"/>
        <w:outlineLvl w:val="1"/>
      </w:pPr>
      <w:r>
        <w:rPr>
          <w:rFonts w:ascii="Gazpacho" w:cs="Gazpacho" w:eastAsia="Gazpacho" w:hAnsi="Gazpacho"/>
          <w:i w:val="false"/>
          <w:iCs w:val="false"/>
          <w:color w:val="171717"/>
          <w:sz w:val="26"/>
          <w:szCs w:val="26"/>
        </w:rPr>
        <w:t xml:space="preserve">Cost per exit (line G)</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49"/>
        <w:gridCol w:w="3554"/>
        <w:gridCol w:w="1263"/>
        <w:gridCol w:w="2271"/>
      </w:tblGrid>
      <w:tr>
        <w:trPr>
          <w:cantSplit/>
          <w:tblHeader/>
        </w:trPr>
        <w:tc>
          <w:tcPr>
            <w:tcW w:type="dxa" w:w="2549"/>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COMPONENT</w:t>
            </w:r>
          </w:p>
        </w:tc>
        <w:tc>
          <w:tcPr>
            <w:tcW w:type="dxa" w:w="3554"/>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WHERE THE NUMBER COMES FROM</w:t>
            </w:r>
          </w:p>
        </w:tc>
        <w:tc>
          <w:tcPr>
            <w:tcW w:type="dxa" w:w="1263"/>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YOUR FIGURE</w:t>
            </w:r>
          </w:p>
        </w:tc>
        <w:tc>
          <w:tcPr>
            <w:tcW w:type="dxa" w:w="2271"/>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EXAMPLE</w:t>
            </w:r>
          </w:p>
        </w:tc>
      </w:tr>
      <w:tr>
        <w:trPr>
          <w:cantSplit/>
        </w:trPr>
        <w:tc>
          <w:tcPr>
            <w:tcW w:type="dxa" w:w="254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Recruitment fee</w:t>
            </w:r>
          </w:p>
        </w:tc>
        <w:tc>
          <w:tcPr>
            <w:tcW w:type="dxa" w:w="355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Average of your last four to six comparable hires, including advertising.</w:t>
            </w:r>
          </w:p>
        </w:tc>
        <w:tc>
          <w:tcPr>
            <w:tcW w:type="dxa" w:w="1263"/>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p>
        </w:tc>
        <w:tc>
          <w:tcPr>
            <w:tcW w:type="dxa" w:w="227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£9,600 (20% of D)</w:t>
            </w:r>
          </w:p>
        </w:tc>
      </w:tr>
      <w:tr>
        <w:trPr>
          <w:cantSplit/>
        </w:trPr>
        <w:tc>
          <w:tcPr>
            <w:tcW w:type="dxa" w:w="254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Cover during vacancy</w:t>
            </w:r>
          </w:p>
        </w:tc>
        <w:tc>
          <w:tcPr>
            <w:tcW w:type="dxa" w:w="355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Time to hire × cover cost: interim, overtime or absorbed hours.</w:t>
            </w:r>
          </w:p>
        </w:tc>
        <w:tc>
          <w:tcPr>
            <w:tcW w:type="dxa" w:w="1263"/>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p>
        </w:tc>
        <w:tc>
          <w:tcPr>
            <w:tcW w:type="dxa" w:w="227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£6,000</w:t>
            </w:r>
          </w:p>
        </w:tc>
      </w:tr>
      <w:tr>
        <w:trPr>
          <w:cantSplit/>
        </w:trPr>
        <w:tc>
          <w:tcPr>
            <w:tcW w:type="dxa" w:w="254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Onboarding time</w:t>
            </w:r>
          </w:p>
        </w:tc>
        <w:tc>
          <w:tcPr>
            <w:tcW w:type="dxa" w:w="355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Manager, HR and team hours on induction × loaded hourly cost.</w:t>
            </w:r>
          </w:p>
        </w:tc>
        <w:tc>
          <w:tcPr>
            <w:tcW w:type="dxa" w:w="1263"/>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p>
        </w:tc>
        <w:tc>
          <w:tcPr>
            <w:tcW w:type="dxa" w:w="227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£2,400</w:t>
            </w:r>
          </w:p>
        </w:tc>
      </w:tr>
      <w:tr>
        <w:trPr>
          <w:cantSplit/>
        </w:trPr>
        <w:tc>
          <w:tcPr>
            <w:tcW w:type="dxa" w:w="254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Ramp-up productivity</w:t>
            </w:r>
          </w:p>
        </w:tc>
        <w:tc>
          <w:tcPr>
            <w:tcW w:type="dxa" w:w="355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Time to competence × assumed lost effectiveness (example assumes 6 months at 50%).</w:t>
            </w:r>
          </w:p>
        </w:tc>
        <w:tc>
          <w:tcPr>
            <w:tcW w:type="dxa" w:w="1263"/>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p>
        </w:tc>
        <w:tc>
          <w:tcPr>
            <w:tcW w:type="dxa" w:w="227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£12,000 (6 months at 50%)</w:t>
            </w:r>
          </w:p>
        </w:tc>
      </w:tr>
      <w:tr>
        <w:trPr>
          <w:cantSplit/>
        </w:trPr>
        <w:tc>
          <w:tcPr>
            <w:tcW w:type="dxa" w:w="254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Knowledge and relationships</w:t>
            </w:r>
          </w:p>
        </w:tc>
        <w:tc>
          <w:tcPr>
            <w:tcW w:type="dxa" w:w="355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A modest figure, labelled as judgement.</w:t>
            </w:r>
          </w:p>
        </w:tc>
        <w:tc>
          <w:tcPr>
            <w:tcW w:type="dxa" w:w="1263"/>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p>
        </w:tc>
        <w:tc>
          <w:tcPr>
            <w:tcW w:type="dxa" w:w="227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£5,000 (judgement)</w:t>
            </w:r>
          </w:p>
        </w:tc>
      </w:tr>
      <w:tr>
        <w:trPr>
          <w:cantSplit/>
        </w:trPr>
        <w:tc>
          <w:tcPr>
            <w:tcW w:type="dxa" w:w="254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i w:val="false"/>
                <w:iCs w:val="false"/>
                <w:color w:val="171717"/>
                <w:sz w:val="17"/>
                <w:szCs w:val="17"/>
              </w:rPr>
              <w:t xml:space="preserve">Total = G</w:t>
            </w:r>
          </w:p>
        </w:tc>
        <w:tc>
          <w:tcPr>
            <w:tcW w:type="dxa" w:w="355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p>
        </w:tc>
        <w:tc>
          <w:tcPr>
            <w:tcW w:type="dxa" w:w="1263"/>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p>
        </w:tc>
        <w:tc>
          <w:tcPr>
            <w:tcW w:type="dxa" w:w="227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i w:val="false"/>
                <w:iCs w:val="false"/>
                <w:color w:val="171717"/>
                <w:sz w:val="17"/>
                <w:szCs w:val="17"/>
              </w:rPr>
              <w:t xml:space="preserve">£35,000 (73% of D)</w:t>
            </w:r>
          </w:p>
        </w:tc>
      </w:tr>
    </w:tbl>
    <w:p>
      <w:pPr>
        <w:keepNext w:val="false"/>
        <w:spacing w:after="120"/>
      </w:pPr>
    </w:p>
    <w:p>
      <w:pPr>
        <w:keepNext/>
        <w:spacing w:after="80" w:before="240" w:line="264"/>
        <w:outlineLvl w:val="1"/>
      </w:pPr>
      <w:r>
        <w:rPr>
          <w:rFonts w:ascii="Gazpacho" w:cs="Gazpacho" w:eastAsia="Gazpacho" w:hAnsi="Gazpacho"/>
          <w:i w:val="false"/>
          <w:iCs w:val="false"/>
          <w:color w:val="171717"/>
          <w:sz w:val="26"/>
          <w:szCs w:val="26"/>
        </w:rPr>
        <w:t xml:space="preserve">Programme cost (lines I and J)</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93"/>
        <w:gridCol w:w="1286"/>
        <w:gridCol w:w="1306"/>
        <w:gridCol w:w="1885"/>
        <w:gridCol w:w="1865"/>
      </w:tblGrid>
      <w:tr>
        <w:trPr>
          <w:cantSplit/>
          <w:tblHeader/>
        </w:trPr>
        <w:tc>
          <w:tcPr>
            <w:tcW w:type="dxa" w:w="3293"/>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COST LINE</w:t>
            </w:r>
          </w:p>
        </w:tc>
        <w:tc>
          <w:tcPr>
            <w:tcW w:type="dxa" w:w="1286"/>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YOURS, YR 1</w:t>
            </w:r>
          </w:p>
        </w:tc>
        <w:tc>
          <w:tcPr>
            <w:tcW w:type="dxa" w:w="1306"/>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YOURS, LATER</w:t>
            </w:r>
          </w:p>
        </w:tc>
        <w:tc>
          <w:tcPr>
            <w:tcW w:type="dxa" w:w="1885"/>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EXAMPLE, YR 1</w:t>
            </w:r>
          </w:p>
        </w:tc>
        <w:tc>
          <w:tcPr>
            <w:tcW w:type="dxa" w:w="1865"/>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EXAMPLE, LATER</w:t>
            </w:r>
          </w:p>
        </w:tc>
      </w:tr>
      <w:tr>
        <w:trPr>
          <w:cantSplit/>
        </w:trPr>
        <w:tc>
          <w:tcPr>
            <w:tcW w:type="dxa" w:w="3293"/>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Policy drafting and legal review (one-off)</w:t>
            </w:r>
          </w:p>
        </w:tc>
        <w:tc>
          <w:tcPr>
            <w:tcW w:type="dxa" w:w="128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p>
        </w:tc>
        <w:tc>
          <w:tcPr>
            <w:tcW w:type="dxa" w:w="130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p>
        </w:tc>
        <w:tc>
          <w:tcPr>
            <w:tcW w:type="dxa" w:w="188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£3,000</w:t>
            </w:r>
          </w:p>
        </w:tc>
        <w:tc>
          <w:tcPr>
            <w:tcW w:type="dxa" w:w="186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w:t>
            </w:r>
          </w:p>
        </w:tc>
      </w:tr>
      <w:tr>
        <w:trPr>
          <w:cantSplit/>
        </w:trPr>
        <w:tc>
          <w:tcPr>
            <w:tcW w:type="dxa" w:w="3293"/>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Line manager training (45 managers; then new managers)</w:t>
            </w:r>
          </w:p>
        </w:tc>
        <w:tc>
          <w:tcPr>
            <w:tcW w:type="dxa" w:w="128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p>
        </w:tc>
        <w:tc>
          <w:tcPr>
            <w:tcW w:type="dxa" w:w="130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p>
        </w:tc>
        <w:tc>
          <w:tcPr>
            <w:tcW w:type="dxa" w:w="188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£9,000</w:t>
            </w:r>
          </w:p>
        </w:tc>
        <w:tc>
          <w:tcPr>
            <w:tcW w:type="dxa" w:w="186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£2,000</w:t>
            </w:r>
          </w:p>
        </w:tc>
      </w:tr>
      <w:tr>
        <w:trPr>
          <w:cantSplit/>
        </w:trPr>
        <w:tc>
          <w:tcPr>
            <w:tcW w:type="dxa" w:w="3293"/>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Occupational health or specialist clinical access</w:t>
            </w:r>
          </w:p>
        </w:tc>
        <w:tc>
          <w:tcPr>
            <w:tcW w:type="dxa" w:w="128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p>
        </w:tc>
        <w:tc>
          <w:tcPr>
            <w:tcW w:type="dxa" w:w="130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p>
        </w:tc>
        <w:tc>
          <w:tcPr>
            <w:tcW w:type="dxa" w:w="188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£14,000</w:t>
            </w:r>
          </w:p>
        </w:tc>
        <w:tc>
          <w:tcPr>
            <w:tcW w:type="dxa" w:w="186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£14,000</w:t>
            </w:r>
          </w:p>
        </w:tc>
      </w:tr>
      <w:tr>
        <w:trPr>
          <w:cantSplit/>
        </w:trPr>
        <w:tc>
          <w:tcPr>
            <w:tcW w:type="dxa" w:w="3293"/>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Workplace adjustments budget</w:t>
            </w:r>
          </w:p>
        </w:tc>
        <w:tc>
          <w:tcPr>
            <w:tcW w:type="dxa" w:w="128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p>
        </w:tc>
        <w:tc>
          <w:tcPr>
            <w:tcW w:type="dxa" w:w="130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p>
        </w:tc>
        <w:tc>
          <w:tcPr>
            <w:tcW w:type="dxa" w:w="188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£6,000</w:t>
            </w:r>
          </w:p>
        </w:tc>
        <w:tc>
          <w:tcPr>
            <w:tcW w:type="dxa" w:w="186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£6,000</w:t>
            </w:r>
          </w:p>
        </w:tc>
      </w:tr>
      <w:tr>
        <w:trPr>
          <w:cantSplit/>
        </w:trPr>
        <w:tc>
          <w:tcPr>
            <w:tcW w:type="dxa" w:w="3293"/>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Communication and administration</w:t>
            </w:r>
          </w:p>
        </w:tc>
        <w:tc>
          <w:tcPr>
            <w:tcW w:type="dxa" w:w="128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p>
        </w:tc>
        <w:tc>
          <w:tcPr>
            <w:tcW w:type="dxa" w:w="130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p>
        </w:tc>
        <w:tc>
          <w:tcPr>
            <w:tcW w:type="dxa" w:w="188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£3,000</w:t>
            </w:r>
          </w:p>
        </w:tc>
        <w:tc>
          <w:tcPr>
            <w:tcW w:type="dxa" w:w="186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£3,000</w:t>
            </w:r>
          </w:p>
        </w:tc>
      </w:tr>
      <w:tr>
        <w:trPr>
          <w:cantSplit/>
        </w:trPr>
        <w:tc>
          <w:tcPr>
            <w:tcW w:type="dxa" w:w="3293"/>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i w:val="false"/>
                <w:iCs w:val="false"/>
                <w:color w:val="171717"/>
                <w:sz w:val="17"/>
                <w:szCs w:val="17"/>
              </w:rPr>
              <w:t xml:space="preserve">Total = I and J</w:t>
            </w:r>
          </w:p>
        </w:tc>
        <w:tc>
          <w:tcPr>
            <w:tcW w:type="dxa" w:w="128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p>
        </w:tc>
        <w:tc>
          <w:tcPr>
            <w:tcW w:type="dxa" w:w="130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p>
        </w:tc>
        <w:tc>
          <w:tcPr>
            <w:tcW w:type="dxa" w:w="188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i w:val="false"/>
                <w:iCs w:val="false"/>
                <w:color w:val="171717"/>
                <w:sz w:val="17"/>
                <w:szCs w:val="17"/>
              </w:rPr>
              <w:t xml:space="preserve">£35,000</w:t>
            </w:r>
          </w:p>
        </w:tc>
        <w:tc>
          <w:tcPr>
            <w:tcW w:type="dxa" w:w="186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i w:val="false"/>
                <w:iCs w:val="false"/>
                <w:color w:val="171717"/>
                <w:sz w:val="17"/>
                <w:szCs w:val="17"/>
              </w:rPr>
              <w:t xml:space="preserve">£25,000</w:t>
            </w:r>
          </w:p>
        </w:tc>
      </w:tr>
    </w:tbl>
    <w:p>
      <w:pPr>
        <w:keepNext w:val="false"/>
        <w:spacing w:after="12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E1E0DD" w:sz="4"/>
              <w:left w:val="single" w:color="E1E0DD" w:sz="4"/>
              <w:bottom w:val="none" w:color="FFFFFF" w:sz="0"/>
              <w:right w:val="single" w:color="E1E0DD" w:sz="4"/>
            </w:tcBorders>
            <w:shd w:fill="F5F5F3" w:color="auto" w:val="clear"/>
            <w:tcMar>
              <w:top w:type="dxa" w:w="16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Note 1 – exit rate.</w:t>
            </w:r>
            <w:r>
              <w:rPr>
                <w:rFonts w:ascii="Montserrat" w:cs="Montserrat" w:eastAsia="Montserrat" w:hAnsi="Montserrat"/>
                <w:i w:val="false"/>
                <w:iCs w:val="false"/>
                <w:color w:val="171717"/>
                <w:sz w:val="18"/>
                <w:szCs w:val="18"/>
              </w:rPr>
              <w:t xml:space="preserve"> The surveys report women who have ever left, not an annual rate. Divide by the years of exposure and state the divisor. CIPD’s 6% who left ÷ about 10 years ≈ 0.6% a year. Fawcett’s one in ten ÷ about 10 years ≈ 1% a year. Ten years is a judgement that matches the 45 to 55 band. Do not count CIPD’s 17% who only considered leaving; mention it in words as risk the model leaves out. Your own exit-interview data beats both surveys. CIPD’s figures are for women who have had menopause symptoms (73% of its sample). Applying them to everyone in the band, as here, assumes most women aged 45 to 55 are affected. Say so in the paper, or multiply B by your own estimate of the share affected.</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Note 2 – sense-checks.</w:t>
            </w:r>
            <w:r>
              <w:rPr>
                <w:rFonts w:ascii="Montserrat" w:cs="Montserrat" w:eastAsia="Montserrat" w:hAnsi="Montserrat"/>
                <w:i w:val="false"/>
                <w:iCs w:val="false"/>
                <w:color w:val="171717"/>
                <w:sz w:val="18"/>
                <w:szCs w:val="18"/>
              </w:rPr>
              <w:t xml:space="preserve"> As a planning assumption, not a published benchmark, expect G to fall between half and one times salary; if yours is outside that range, check the build-up. F should be well below the band’s actual voluntary leavers (data point 3). Include internal time honestly; if it is absorbed, say so.</w:t>
            </w:r>
          </w:p>
        </w:tc>
      </w:tr>
      <w:tr>
        <w:trPr>
          <w:cantSplit/>
        </w:trPr>
        <w:tc>
          <w:tcPr>
            <w:tcW w:type="dxa" w:w="9638"/>
            <w:tcBorders>
              <w:top w:val="none" w:color="FFFFFF" w:sz="0"/>
              <w:left w:val="single" w:color="E1E0DD" w:sz="4"/>
              <w:bottom w:val="single" w:color="E1E0DD" w:sz="4"/>
              <w:right w:val="single" w:color="E1E0DD" w:sz="4"/>
            </w:tcBorders>
            <w:shd w:fill="F5F5F3" w:color="auto" w:val="clear"/>
            <w:tcMar>
              <w:top w:type="dxa" w:w="0"/>
              <w:left w:type="dxa" w:w="200"/>
              <w:bottom w:type="dxa" w:w="120"/>
              <w:right w:type="dxa" w:w="200"/>
            </w:tcMar>
          </w:tcPr>
          <w:p>
            <w:pPr>
              <w:keepNext w:val="false"/>
              <w:spacing w:after="80" w:line="300"/>
            </w:pPr>
            <w:r>
              <w:rPr>
                <w:rFonts w:ascii="Montserrat" w:cs="Montserrat" w:eastAsia="Montserrat" w:hAnsi="Montserrat"/>
                <w:b/>
                <w:bCs/>
                <w:i w:val="false"/>
                <w:iCs w:val="false"/>
                <w:color w:val="171717"/>
                <w:sz w:val="18"/>
                <w:szCs w:val="18"/>
              </w:rPr>
              <w:t xml:space="preserve">Note 3 – break-even, not ROI.</w:t>
            </w:r>
            <w:r>
              <w:rPr>
                <w:rFonts w:ascii="Montserrat" w:cs="Montserrat" w:eastAsia="Montserrat" w:hAnsi="Montserrat"/>
                <w:i w:val="false"/>
                <w:iCs w:val="false"/>
                <w:color w:val="171717"/>
                <w:sz w:val="18"/>
                <w:szCs w:val="18"/>
              </w:rPr>
              <w:t xml:space="preserve"> In the example, year one breaks even at the bottom of the modelled range. Later years need 0.7 of an exit a year against 1.0 to 1.7. Do not claim the programme prevents every modelled exit.</w:t>
            </w:r>
          </w:p>
        </w:tc>
      </w:tr>
    </w:tbl>
    <w:p>
      <w:pPr>
        <w:keepNext w:val="false"/>
        <w:spacing w:after="12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E1E0DD" w:sz="4"/>
              <w:left w:val="single" w:color="E1E0DD" w:sz="4"/>
              <w:bottom w:val="none" w:color="FFFFFF" w:sz="0"/>
              <w:right w:val="single" w:color="E1E0DD" w:sz="4"/>
            </w:tcBorders>
            <w:shd w:fill="F5F5F3" w:color="auto" w:val="clear"/>
            <w:tcMar>
              <w:top w:type="dxa" w:w="160"/>
              <w:left w:type="dxa" w:w="200"/>
              <w:bottom w:type="dxa" w:w="0"/>
              <w:right w:type="dxa" w:w="200"/>
            </w:tcMar>
          </w:tcPr>
          <w:p>
            <w:pPr>
              <w:keepNext/>
              <w:spacing w:after="80"/>
            </w:pPr>
            <w:r>
              <w:rPr>
                <w:rFonts w:ascii="Montserrat" w:cs="Montserrat" w:eastAsia="Montserrat" w:hAnsi="Montserrat"/>
                <w:b/>
                <w:bCs/>
                <w:i w:val="false"/>
                <w:iCs w:val="false"/>
                <w:color w:val="171717"/>
                <w:sz w:val="20"/>
                <w:szCs w:val="20"/>
              </w:rPr>
              <w:t xml:space="preserve">Rates and positions used</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No tax rates are used.</w:t>
            </w:r>
            <w:r>
              <w:rPr>
                <w:rFonts w:ascii="Montserrat" w:cs="Montserrat" w:eastAsia="Montserrat" w:hAnsi="Montserrat"/>
                <w:i w:val="false"/>
                <w:iCs w:val="false"/>
                <w:color w:val="171717"/>
                <w:sz w:val="18"/>
                <w:szCs w:val="18"/>
              </w:rPr>
              <w:t xml:space="preserve"> Salaries, fees and programme costs are your own figures.</w:t>
            </w:r>
          </w:p>
        </w:tc>
      </w:tr>
      <w:tr>
        <w:trPr>
          <w:cantSplit/>
        </w:trPr>
        <w:tc>
          <w:tcPr>
            <w:tcW w:type="dxa" w:w="9638"/>
            <w:tcBorders>
              <w:top w:val="none" w:color="FFFFFF" w:sz="0"/>
              <w:left w:val="single" w:color="E1E0DD" w:sz="4"/>
              <w:bottom w:val="single" w:color="E1E0DD" w:sz="4"/>
              <w:right w:val="single" w:color="E1E0DD" w:sz="4"/>
            </w:tcBorders>
            <w:shd w:fill="F5F5F3" w:color="auto" w:val="clear"/>
            <w:tcMar>
              <w:top w:type="dxa" w:w="0"/>
              <w:left w:type="dxa" w:w="200"/>
              <w:bottom w:type="dxa" w:w="120"/>
              <w:right w:type="dxa" w:w="200"/>
            </w:tcMar>
          </w:tcPr>
          <w:p>
            <w:pPr>
              <w:keepNext w:val="false"/>
              <w:spacing w:after="80" w:line="300"/>
            </w:pPr>
            <w:r>
              <w:rPr>
                <w:rFonts w:ascii="Montserrat" w:cs="Montserrat" w:eastAsia="Montserrat" w:hAnsi="Montserrat"/>
                <w:b/>
                <w:bCs/>
                <w:i w:val="false"/>
                <w:iCs w:val="false"/>
                <w:color w:val="171717"/>
                <w:sz w:val="18"/>
                <w:szCs w:val="18"/>
              </w:rPr>
              <w:t xml:space="preserve">Action plans.</w:t>
            </w:r>
            <w:r>
              <w:rPr>
                <w:rFonts w:ascii="Montserrat" w:cs="Montserrat" w:eastAsia="Montserrat" w:hAnsi="Montserrat"/>
                <w:i w:val="false"/>
                <w:iCs w:val="false"/>
                <w:color w:val="171717"/>
                <w:sz w:val="18"/>
                <w:szCs w:val="18"/>
              </w:rPr>
              <w:t xml:space="preserve"> The Employment Rights Bill, now before Parliament, would require employers with 250 or more employees to publish action plans on gender equality, including menopause support. The Government’s implementation roadmap (1 July 2025) expects a voluntary phase from April 2026 and a requirement from 2027. Re-check before you present.</w:t>
            </w:r>
          </w:p>
        </w:tc>
      </w:tr>
    </w:tbl>
    <w:p>
      <w:pPr>
        <w:keepNext w:val="false"/>
        <w:spacing w:after="120"/>
      </w:pPr>
    </w:p>
    <w:p>
      <w:pPr>
        <w:keepNext/>
        <w:pBdr>
          <w:top w:val="single" w:color="171717" w:sz="12" w:space="8"/>
        </w:pBdr>
        <w:spacing w:after="120" w:before="360" w:line="264"/>
        <w:outlineLvl w:val="0"/>
      </w:pPr>
      <w:r>
        <w:rPr>
          <w:rFonts w:ascii="Gazpacho" w:cs="Gazpacho" w:eastAsia="Gazpacho" w:hAnsi="Gazpacho"/>
          <w:i w:val="false"/>
          <w:iCs w:val="false"/>
          <w:color w:val="171717"/>
          <w:sz w:val="36"/>
          <w:szCs w:val="36"/>
        </w:rPr>
        <w:t xml:space="preserve">Menopause provision: retention and replacement cost</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E1E0DD" w:sz="4"/>
              <w:left w:val="single" w:color="E1E0DD" w:sz="4"/>
              <w:bottom w:val="single" w:color="E1E0DD" w:sz="4"/>
              <w:right w:val="single" w:color="E1E0DD" w:sz="4"/>
            </w:tcBorders>
            <w:shd w:fill="F5F5F3" w:color="auto" w:val="clear"/>
            <w:tcMar>
              <w:top w:type="dxa" w:w="160"/>
              <w:left w:type="dxa" w:w="200"/>
              <w:bottom w:type="dxa" w:w="120"/>
              <w:right w:type="dxa" w:w="200"/>
            </w:tcMar>
          </w:tcPr>
          <w:p>
            <w:pPr>
              <w:keepNext w:val="false"/>
              <w:spacing w:after="80"/>
            </w:pPr>
            <w:r>
              <w:rPr>
                <w:rFonts w:ascii="Montserrat" w:cs="Montserrat" w:eastAsia="Montserrat" w:hAnsi="Montserrat"/>
                <w:b/>
                <w:bCs/>
                <w:color w:val="FF4057"/>
                <w:spacing w:val="20"/>
                <w:sz w:val="14"/>
                <w:szCs w:val="14"/>
              </w:rPr>
              <w:t xml:space="preserve">THE BOARD PAPER</w:t>
            </w:r>
          </w:p>
          <w:p>
            <w:pPr>
              <w:keepNext/>
              <w:spacing w:after="80" w:line="300"/>
            </w:pPr>
            <w:r>
              <w:rPr>
                <w:rFonts w:ascii="Montserrat" w:cs="Montserrat" w:eastAsia="Montserrat" w:hAnsi="Montserrat"/>
                <w:i w:val="false"/>
                <w:iCs w:val="false"/>
                <w:color w:val="171717"/>
                <w:sz w:val="18"/>
                <w:szCs w:val="18"/>
              </w:rPr>
              <w:t xml:space="preserve">Present this paper. Replace every placeholder before you circulate it.</w:t>
            </w:r>
          </w:p>
        </w:tc>
      </w:tr>
    </w:tbl>
    <w:p>
      <w:pPr>
        <w:keepNext/>
        <w:spacing w:after="12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47"/>
        <w:gridCol w:w="3280"/>
        <w:gridCol w:w="2026"/>
        <w:gridCol w:w="2783"/>
      </w:tblGrid>
      <w:tr>
        <w:trPr>
          <w:cantSplit/>
          <w:tblHeader/>
        </w:trPr>
        <w:tc>
          <w:tcPr>
            <w:tcW w:type="dxa" w:w="1547"/>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p>
        </w:tc>
        <w:tc>
          <w:tcPr>
            <w:tcW w:type="dxa" w:w="3280"/>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p>
        </w:tc>
        <w:tc>
          <w:tcPr>
            <w:tcW w:type="dxa" w:w="2026"/>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p>
        </w:tc>
        <w:tc>
          <w:tcPr>
            <w:tcW w:type="dxa" w:w="2783"/>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p>
        </w:tc>
      </w:tr>
      <w:tr>
        <w:trPr>
          <w:cantSplit/>
        </w:trPr>
        <w:tc>
          <w:tcPr>
            <w:tcW w:type="dxa" w:w="1547"/>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i w:val="false"/>
                <w:iCs w:val="false"/>
                <w:color w:val="171717"/>
                <w:sz w:val="17"/>
                <w:szCs w:val="17"/>
              </w:rPr>
              <w:t xml:space="preserve">To</w:t>
            </w:r>
          </w:p>
        </w:tc>
        <w:tc>
          <w:tcPr>
            <w:tcW w:type="dxa" w:w="3280"/>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[COMMITTEE]</w:t>
            </w:r>
          </w:p>
        </w:tc>
        <w:tc>
          <w:tcPr>
            <w:tcW w:type="dxa" w:w="202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i w:val="false"/>
                <w:iCs w:val="false"/>
                <w:color w:val="171717"/>
                <w:sz w:val="17"/>
                <w:szCs w:val="17"/>
              </w:rPr>
              <w:t xml:space="preserve">From</w:t>
            </w:r>
          </w:p>
        </w:tc>
        <w:tc>
          <w:tcPr>
            <w:tcW w:type="dxa" w:w="2783"/>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[AUTHOR]</w:t>
            </w:r>
          </w:p>
        </w:tc>
      </w:tr>
      <w:tr>
        <w:trPr>
          <w:cantSplit/>
        </w:trPr>
        <w:tc>
          <w:tcPr>
            <w:tcW w:type="dxa" w:w="1547"/>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i w:val="false"/>
                <w:iCs w:val="false"/>
                <w:color w:val="171717"/>
                <w:sz w:val="17"/>
                <w:szCs w:val="17"/>
              </w:rPr>
              <w:t xml:space="preserve">Date</w:t>
            </w:r>
          </w:p>
        </w:tc>
        <w:tc>
          <w:tcPr>
            <w:tcW w:type="dxa" w:w="3280"/>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[PAPER_DATE]</w:t>
            </w:r>
          </w:p>
        </w:tc>
        <w:tc>
          <w:tcPr>
            <w:tcW w:type="dxa" w:w="202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i w:val="false"/>
                <w:iCs w:val="false"/>
                <w:color w:val="171717"/>
                <w:sz w:val="17"/>
                <w:szCs w:val="17"/>
              </w:rPr>
              <w:t xml:space="preserve">Status</w:t>
            </w:r>
          </w:p>
        </w:tc>
        <w:tc>
          <w:tcPr>
            <w:tcW w:type="dxa" w:w="2783"/>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For decision</w:t>
            </w:r>
          </w:p>
        </w:tc>
      </w:tr>
    </w:tbl>
    <w:p>
      <w:pPr>
        <w:keepNext w:val="false"/>
        <w:spacing w:after="120"/>
      </w:pPr>
    </w:p>
    <w:p>
      <w:pPr>
        <w:keepNext/>
        <w:spacing w:after="80" w:before="240" w:line="264"/>
        <w:outlineLvl w:val="1"/>
      </w:pPr>
      <w:r>
        <w:rPr>
          <w:rFonts w:ascii="Gazpacho" w:cs="Gazpacho" w:eastAsia="Gazpacho" w:hAnsi="Gazpacho"/>
          <w:i w:val="false"/>
          <w:iCs w:val="false"/>
          <w:color w:val="171717"/>
          <w:sz w:val="26"/>
          <w:szCs w:val="26"/>
        </w:rPr>
        <w:t xml:space="preserve">1 Recommendation</w:t>
      </w:r>
    </w:p>
    <w:p>
      <w:pPr>
        <w:keepNext w:val="false"/>
        <w:spacing w:after="120" w:line="312"/>
      </w:pPr>
      <w:r>
        <w:rPr>
          <w:rFonts w:ascii="Montserrat" w:cs="Montserrat" w:eastAsia="Montserrat" w:hAnsi="Montserrat"/>
          <w:i w:val="false"/>
          <w:iCs w:val="false"/>
          <w:color w:val="171717"/>
          <w:sz w:val="19"/>
          <w:szCs w:val="19"/>
        </w:rPr>
        <w:t xml:space="preserve">The Board is asked to approve £</w:t>
      </w:r>
      <w:r>
        <w:rPr>
          <w:rFonts w:ascii="Montserrat" w:cs="Montserrat" w:eastAsia="Montserrat" w:hAnsi="Montserrat"/>
          <w:b/>
          <w:bCs/>
          <w:color w:val="FF4057"/>
          <w:sz w:val="19"/>
          <w:szCs w:val="19"/>
        </w:rPr>
        <w:t xml:space="preserve">[YEAR1]</w:t>
      </w:r>
      <w:r>
        <w:rPr>
          <w:rFonts w:ascii="Montserrat" w:cs="Montserrat" w:eastAsia="Montserrat" w:hAnsi="Montserrat"/>
          <w:i w:val="false"/>
          <w:iCs w:val="false"/>
          <w:color w:val="171717"/>
          <w:sz w:val="19"/>
          <w:szCs w:val="19"/>
        </w:rPr>
        <w:t xml:space="preserve"> in year one and £</w:t>
      </w:r>
      <w:r>
        <w:rPr>
          <w:rFonts w:ascii="Montserrat" w:cs="Montserrat" w:eastAsia="Montserrat" w:hAnsi="Montserrat"/>
          <w:b/>
          <w:bCs/>
          <w:color w:val="FF4057"/>
          <w:sz w:val="19"/>
          <w:szCs w:val="19"/>
        </w:rPr>
        <w:t xml:space="preserve">[RECURRING]</w:t>
      </w:r>
      <w:r>
        <w:rPr>
          <w:rFonts w:ascii="Montserrat" w:cs="Montserrat" w:eastAsia="Montserrat" w:hAnsi="Montserrat"/>
          <w:i w:val="false"/>
          <w:iCs w:val="false"/>
          <w:color w:val="171717"/>
          <w:sz w:val="19"/>
          <w:szCs w:val="19"/>
        </w:rPr>
        <w:t xml:space="preserve"> a year thereafter for the menopause support provision in the appendix, from </w:t>
      </w:r>
      <w:r>
        <w:rPr>
          <w:rFonts w:ascii="Montserrat" w:cs="Montserrat" w:eastAsia="Montserrat" w:hAnsi="Montserrat"/>
          <w:b/>
          <w:bCs/>
          <w:color w:val="FF4057"/>
          <w:sz w:val="19"/>
          <w:szCs w:val="19"/>
        </w:rPr>
        <w:t xml:space="preserve">[START_DATE]</w:t>
      </w:r>
      <w:r>
        <w:rPr>
          <w:rFonts w:ascii="Montserrat" w:cs="Montserrat" w:eastAsia="Montserrat" w:hAnsi="Montserrat"/>
          <w:i w:val="false"/>
          <w:iCs w:val="false"/>
          <w:color w:val="171717"/>
          <w:sz w:val="19"/>
          <w:szCs w:val="19"/>
        </w:rPr>
        <w:t xml:space="preserve">. A review of retention in the affected group will be reported on </w:t>
      </w:r>
      <w:r>
        <w:rPr>
          <w:rFonts w:ascii="Montserrat" w:cs="Montserrat" w:eastAsia="Montserrat" w:hAnsi="Montserrat"/>
          <w:b/>
          <w:bCs/>
          <w:color w:val="FF4057"/>
          <w:sz w:val="19"/>
          <w:szCs w:val="19"/>
        </w:rPr>
        <w:t xml:space="preserve">[REVIEW_DATE]</w:t>
      </w:r>
      <w:r>
        <w:rPr>
          <w:rFonts w:ascii="Montserrat" w:cs="Montserrat" w:eastAsia="Montserrat" w:hAnsi="Montserrat"/>
          <w:i w:val="false"/>
          <w:iCs w:val="false"/>
          <w:color w:val="171717"/>
          <w:sz w:val="19"/>
          <w:szCs w:val="19"/>
        </w:rPr>
        <w:t xml:space="preserve">.</w:t>
      </w:r>
    </w:p>
    <w:p>
      <w:pPr>
        <w:keepNext/>
        <w:spacing w:after="80" w:before="240" w:line="264"/>
        <w:outlineLvl w:val="1"/>
      </w:pPr>
      <w:r>
        <w:rPr>
          <w:rFonts w:ascii="Gazpacho" w:cs="Gazpacho" w:eastAsia="Gazpacho" w:hAnsi="Gazpacho"/>
          <w:i w:val="false"/>
          <w:iCs w:val="false"/>
          <w:color w:val="171717"/>
          <w:sz w:val="26"/>
          <w:szCs w:val="26"/>
        </w:rPr>
        <w:t xml:space="preserve">2 The commercial case</w:t>
      </w:r>
    </w:p>
    <w:p>
      <w:pPr>
        <w:keepNext w:val="false"/>
        <w:spacing w:after="120" w:line="312"/>
      </w:pPr>
      <w:r>
        <w:rPr>
          <w:rFonts w:ascii="Montserrat" w:cs="Montserrat" w:eastAsia="Montserrat" w:hAnsi="Montserrat"/>
          <w:i w:val="false"/>
          <w:iCs w:val="false"/>
          <w:color w:val="171717"/>
          <w:sz w:val="19"/>
          <w:szCs w:val="19"/>
        </w:rPr>
        <w:t xml:space="preserve">We employ </w:t>
      </w:r>
      <w:r>
        <w:rPr>
          <w:rFonts w:ascii="Montserrat" w:cs="Montserrat" w:eastAsia="Montserrat" w:hAnsi="Montserrat"/>
          <w:b/>
          <w:bCs/>
          <w:color w:val="FF4057"/>
          <w:sz w:val="19"/>
          <w:szCs w:val="19"/>
        </w:rPr>
        <w:t xml:space="preserve">[N_BAND]</w:t>
      </w:r>
      <w:r>
        <w:rPr>
          <w:rFonts w:ascii="Montserrat" w:cs="Montserrat" w:eastAsia="Montserrat" w:hAnsi="Montserrat"/>
          <w:i w:val="false"/>
          <w:iCs w:val="false"/>
          <w:color w:val="171717"/>
          <w:sz w:val="19"/>
          <w:szCs w:val="19"/>
        </w:rPr>
        <w:t xml:space="preserve"> women aged 45 to 55, of whom </w:t>
      </w:r>
      <w:r>
        <w:rPr>
          <w:rFonts w:ascii="Montserrat" w:cs="Montserrat" w:eastAsia="Montserrat" w:hAnsi="Montserrat"/>
          <w:b/>
          <w:bCs/>
          <w:color w:val="FF4057"/>
          <w:sz w:val="19"/>
          <w:szCs w:val="19"/>
        </w:rPr>
        <w:t xml:space="preserve">[N_MGMT]</w:t>
      </w:r>
      <w:r>
        <w:rPr>
          <w:rFonts w:ascii="Montserrat" w:cs="Montserrat" w:eastAsia="Montserrat" w:hAnsi="Montserrat"/>
          <w:i w:val="false"/>
          <w:iCs w:val="false"/>
          <w:color w:val="171717"/>
          <w:sz w:val="19"/>
          <w:szCs w:val="19"/>
        </w:rPr>
        <w:t xml:space="preserve"> hold management or specialist roles. Their average base salary is £</w:t>
      </w:r>
      <w:r>
        <w:rPr>
          <w:rFonts w:ascii="Montserrat" w:cs="Montserrat" w:eastAsia="Montserrat" w:hAnsi="Montserrat"/>
          <w:b/>
          <w:bCs/>
          <w:color w:val="FF4057"/>
          <w:sz w:val="19"/>
          <w:szCs w:val="19"/>
        </w:rPr>
        <w:t xml:space="preserve">[SALARY]</w:t>
      </w:r>
      <w:r>
        <w:rPr>
          <w:rFonts w:ascii="Montserrat" w:cs="Montserrat" w:eastAsia="Montserrat" w:hAnsi="Montserrat"/>
          <w:i w:val="false"/>
          <w:iCs w:val="false"/>
          <w:color w:val="171717"/>
          <w:sz w:val="19"/>
          <w:szCs w:val="19"/>
        </w:rPr>
        <w:t xml:space="preserve">.</w:t>
      </w:r>
    </w:p>
    <w:p>
      <w:pPr>
        <w:keepNext w:val="false"/>
        <w:spacing w:after="120" w:line="312"/>
      </w:pPr>
      <w:r>
        <w:rPr>
          <w:rFonts w:ascii="Montserrat" w:cs="Montserrat" w:eastAsia="Montserrat" w:hAnsi="Montserrat"/>
          <w:i w:val="false"/>
          <w:iCs w:val="false"/>
          <w:color w:val="171717"/>
          <w:sz w:val="19"/>
          <w:szCs w:val="19"/>
        </w:rPr>
        <w:t xml:space="preserve">Replacing one employee at this level costs an estimated £</w:t>
      </w:r>
      <w:r>
        <w:rPr>
          <w:rFonts w:ascii="Montserrat" w:cs="Montserrat" w:eastAsia="Montserrat" w:hAnsi="Montserrat"/>
          <w:b/>
          <w:bCs/>
          <w:color w:val="FF4057"/>
          <w:sz w:val="19"/>
          <w:szCs w:val="19"/>
        </w:rPr>
        <w:t xml:space="preserve">[EXIT_COST]</w:t>
      </w:r>
      <w:r>
        <w:rPr>
          <w:rFonts w:ascii="Montserrat" w:cs="Montserrat" w:eastAsia="Montserrat" w:hAnsi="Montserrat"/>
          <w:i w:val="false"/>
          <w:iCs w:val="false"/>
          <w:color w:val="171717"/>
          <w:sz w:val="19"/>
          <w:szCs w:val="19"/>
        </w:rPr>
        <w:t xml:space="preserve">. The estimate is built from our last </w:t>
      </w:r>
      <w:r>
        <w:rPr>
          <w:rFonts w:ascii="Montserrat" w:cs="Montserrat" w:eastAsia="Montserrat" w:hAnsi="Montserrat"/>
          <w:b/>
          <w:bCs/>
          <w:color w:val="FF4057"/>
          <w:sz w:val="19"/>
          <w:szCs w:val="19"/>
        </w:rPr>
        <w:t xml:space="preserve">[N_HIRES]</w:t>
      </w:r>
      <w:r>
        <w:rPr>
          <w:rFonts w:ascii="Montserrat" w:cs="Montserrat" w:eastAsia="Montserrat" w:hAnsi="Montserrat"/>
          <w:i w:val="false"/>
          <w:iCs w:val="false"/>
          <w:color w:val="171717"/>
          <w:sz w:val="19"/>
          <w:szCs w:val="19"/>
        </w:rPr>
        <w:t xml:space="preserve"> comparable hires and covers recruitment, vacancy cover, onboarding, ramp-up and lost knowledge. Workings are available on request.</w:t>
      </w:r>
    </w:p>
    <w:p>
      <w:pPr>
        <w:keepNext w:val="false"/>
        <w:spacing w:after="120" w:line="312"/>
      </w:pPr>
      <w:r>
        <w:rPr>
          <w:rFonts w:ascii="Montserrat" w:cs="Montserrat" w:eastAsia="Montserrat" w:hAnsi="Montserrat"/>
          <w:i w:val="false"/>
          <w:iCs w:val="false"/>
          <w:color w:val="171717"/>
          <w:sz w:val="19"/>
          <w:szCs w:val="19"/>
        </w:rPr>
        <w:t xml:space="preserve">In a CIPD survey of 2,185 women aged 40 to 60 in UK employment (October 2023), 1,531 had experienced menopause symptoms. Of those, 17% had considered leaving work because of a lack of support, and a further 6% had left. The Fawcett Society surveyed 4,014 women aged 45 to 55 (May 2022): one in ten who worked during the menopause had left a job due to their symptoms.</w:t>
      </w:r>
    </w:p>
    <w:p>
      <w:pPr>
        <w:keepNext w:val="false"/>
        <w:spacing w:after="120" w:line="312"/>
      </w:pPr>
      <w:r>
        <w:rPr>
          <w:rFonts w:ascii="Montserrat" w:cs="Montserrat" w:eastAsia="Montserrat" w:hAnsi="Montserrat"/>
          <w:i w:val="false"/>
          <w:iCs w:val="false"/>
          <w:color w:val="171717"/>
          <w:sz w:val="19"/>
          <w:szCs w:val="19"/>
        </w:rPr>
        <w:t xml:space="preserve">Converting these cumulative figures to an annual rate of </w:t>
      </w:r>
      <w:r>
        <w:rPr>
          <w:rFonts w:ascii="Montserrat" w:cs="Montserrat" w:eastAsia="Montserrat" w:hAnsi="Montserrat"/>
          <w:b/>
          <w:bCs/>
          <w:color w:val="FF4057"/>
          <w:sz w:val="19"/>
          <w:szCs w:val="19"/>
        </w:rPr>
        <w:t xml:space="preserve">[RATE_LOW]</w:t>
      </w:r>
      <w:r>
        <w:rPr>
          <w:rFonts w:ascii="Montserrat" w:cs="Montserrat" w:eastAsia="Montserrat" w:hAnsi="Montserrat"/>
          <w:i w:val="false"/>
          <w:iCs w:val="false"/>
          <w:color w:val="171717"/>
          <w:sz w:val="19"/>
          <w:szCs w:val="19"/>
        </w:rPr>
        <w:t xml:space="preserve">% to </w:t>
      </w:r>
      <w:r>
        <w:rPr>
          <w:rFonts w:ascii="Montserrat" w:cs="Montserrat" w:eastAsia="Montserrat" w:hAnsi="Montserrat"/>
          <w:b/>
          <w:bCs/>
          <w:color w:val="FF4057"/>
          <w:sz w:val="19"/>
          <w:szCs w:val="19"/>
        </w:rPr>
        <w:t xml:space="preserve">[RATE_HIGH]</w:t>
      </w:r>
      <w:r>
        <w:rPr>
          <w:rFonts w:ascii="Montserrat" w:cs="Montserrat" w:eastAsia="Montserrat" w:hAnsi="Montserrat"/>
          <w:i w:val="false"/>
          <w:iCs w:val="false"/>
          <w:color w:val="171717"/>
          <w:sz w:val="19"/>
          <w:szCs w:val="19"/>
        </w:rPr>
        <w:t xml:space="preserve">% gives </w:t>
      </w:r>
      <w:r>
        <w:rPr>
          <w:rFonts w:ascii="Montserrat" w:cs="Montserrat" w:eastAsia="Montserrat" w:hAnsi="Montserrat"/>
          <w:b/>
          <w:bCs/>
          <w:color w:val="FF4057"/>
          <w:sz w:val="19"/>
          <w:szCs w:val="19"/>
        </w:rPr>
        <w:t xml:space="preserve">[EXITS_LOW]</w:t>
      </w:r>
      <w:r>
        <w:rPr>
          <w:rFonts w:ascii="Montserrat" w:cs="Montserrat" w:eastAsia="Montserrat" w:hAnsi="Montserrat"/>
          <w:i w:val="false"/>
          <w:iCs w:val="false"/>
          <w:color w:val="171717"/>
          <w:sz w:val="19"/>
          <w:szCs w:val="19"/>
        </w:rPr>
        <w:t xml:space="preserve"> to </w:t>
      </w:r>
      <w:r>
        <w:rPr>
          <w:rFonts w:ascii="Montserrat" w:cs="Montserrat" w:eastAsia="Montserrat" w:hAnsi="Montserrat"/>
          <w:b/>
          <w:bCs/>
          <w:color w:val="FF4057"/>
          <w:sz w:val="19"/>
          <w:szCs w:val="19"/>
        </w:rPr>
        <w:t xml:space="preserve">[EXITS_HIGH]</w:t>
      </w:r>
      <w:r>
        <w:rPr>
          <w:rFonts w:ascii="Montserrat" w:cs="Montserrat" w:eastAsia="Montserrat" w:hAnsi="Montserrat"/>
          <w:i w:val="false"/>
          <w:iCs w:val="false"/>
          <w:color w:val="171717"/>
          <w:sz w:val="19"/>
          <w:szCs w:val="19"/>
        </w:rPr>
        <w:t xml:space="preserve"> exits a year in our group. That is an annual exposure of £</w:t>
      </w:r>
      <w:r>
        <w:rPr>
          <w:rFonts w:ascii="Montserrat" w:cs="Montserrat" w:eastAsia="Montserrat" w:hAnsi="Montserrat"/>
          <w:b/>
          <w:bCs/>
          <w:color w:val="FF4057"/>
          <w:sz w:val="19"/>
          <w:szCs w:val="19"/>
        </w:rPr>
        <w:t xml:space="preserve">[EXPOSURE_LOW]</w:t>
      </w:r>
      <w:r>
        <w:rPr>
          <w:rFonts w:ascii="Montserrat" w:cs="Montserrat" w:eastAsia="Montserrat" w:hAnsi="Montserrat"/>
          <w:i w:val="false"/>
          <w:iCs w:val="false"/>
          <w:color w:val="171717"/>
          <w:sz w:val="19"/>
          <w:szCs w:val="19"/>
        </w:rPr>
        <w:t xml:space="preserve"> to £</w:t>
      </w:r>
      <w:r>
        <w:rPr>
          <w:rFonts w:ascii="Montserrat" w:cs="Montserrat" w:eastAsia="Montserrat" w:hAnsi="Montserrat"/>
          <w:b/>
          <w:bCs/>
          <w:color w:val="FF4057"/>
          <w:sz w:val="19"/>
          <w:szCs w:val="19"/>
        </w:rPr>
        <w:t xml:space="preserve">[EXPOSURE_HIGH]</w:t>
      </w:r>
      <w:r>
        <w:rPr>
          <w:rFonts w:ascii="Montserrat" w:cs="Montserrat" w:eastAsia="Montserrat" w:hAnsi="Montserrat"/>
          <w:i w:val="false"/>
          <w:iCs w:val="false"/>
          <w:color w:val="171717"/>
          <w:sz w:val="19"/>
          <w:szCs w:val="19"/>
        </w:rPr>
        <w:t xml:space="preserve">. Only those who left are counted, not those who considered leaving.</w:t>
      </w:r>
    </w:p>
    <w:p>
      <w:pPr>
        <w:keepNext w:val="false"/>
        <w:spacing w:after="120" w:line="312"/>
      </w:pPr>
      <w:r>
        <w:rPr>
          <w:rFonts w:ascii="Montserrat" w:cs="Montserrat" w:eastAsia="Montserrat" w:hAnsi="Montserrat"/>
          <w:b/>
          <w:bCs/>
          <w:i w:val="false"/>
          <w:iCs w:val="false"/>
          <w:color w:val="171717"/>
          <w:sz w:val="19"/>
          <w:szCs w:val="19"/>
        </w:rPr>
        <w:t xml:space="preserve">The provision costs £</w:t>
      </w:r>
      <w:r>
        <w:rPr>
          <w:rFonts w:ascii="Montserrat" w:cs="Montserrat" w:eastAsia="Montserrat" w:hAnsi="Montserrat"/>
          <w:b/>
          <w:bCs/>
          <w:color w:val="FF4057"/>
          <w:sz w:val="19"/>
          <w:szCs w:val="19"/>
        </w:rPr>
        <w:t xml:space="preserve">[YEAR1]</w:t>
      </w:r>
      <w:r>
        <w:rPr>
          <w:rFonts w:ascii="Montserrat" w:cs="Montserrat" w:eastAsia="Montserrat" w:hAnsi="Montserrat"/>
          <w:b/>
          <w:bCs/>
          <w:i w:val="false"/>
          <w:iCs w:val="false"/>
          <w:color w:val="171717"/>
          <w:sz w:val="19"/>
          <w:szCs w:val="19"/>
        </w:rPr>
        <w:t xml:space="preserve"> in year one, or £</w:t>
      </w:r>
      <w:r>
        <w:rPr>
          <w:rFonts w:ascii="Montserrat" w:cs="Montserrat" w:eastAsia="Montserrat" w:hAnsi="Montserrat"/>
          <w:b/>
          <w:bCs/>
          <w:color w:val="FF4057"/>
          <w:sz w:val="19"/>
          <w:szCs w:val="19"/>
        </w:rPr>
        <w:t xml:space="preserve">[PER_HEAD]</w:t>
      </w:r>
      <w:r>
        <w:rPr>
          <w:rFonts w:ascii="Montserrat" w:cs="Montserrat" w:eastAsia="Montserrat" w:hAnsi="Montserrat"/>
          <w:b/>
          <w:bCs/>
          <w:i w:val="false"/>
          <w:iCs w:val="false"/>
          <w:color w:val="171717"/>
          <w:sz w:val="19"/>
          <w:szCs w:val="19"/>
        </w:rPr>
        <w:t xml:space="preserve"> per employee. It pays for itself if it prevents </w:t>
      </w:r>
      <w:r>
        <w:rPr>
          <w:rFonts w:ascii="Montserrat" w:cs="Montserrat" w:eastAsia="Montserrat" w:hAnsi="Montserrat"/>
          <w:b/>
          <w:bCs/>
          <w:color w:val="FF4057"/>
          <w:sz w:val="19"/>
          <w:szCs w:val="19"/>
        </w:rPr>
        <w:t xml:space="preserve">[BREAKEVEN_Y1]</w:t>
      </w:r>
      <w:r>
        <w:rPr>
          <w:rFonts w:ascii="Montserrat" w:cs="Montserrat" w:eastAsia="Montserrat" w:hAnsi="Montserrat"/>
          <w:b/>
          <w:bCs/>
          <w:i w:val="false"/>
          <w:iCs w:val="false"/>
          <w:color w:val="171717"/>
          <w:sz w:val="19"/>
          <w:szCs w:val="19"/>
        </w:rPr>
        <w:t xml:space="preserve"> exits in year one and </w:t>
      </w:r>
      <w:r>
        <w:rPr>
          <w:rFonts w:ascii="Montserrat" w:cs="Montserrat" w:eastAsia="Montserrat" w:hAnsi="Montserrat"/>
          <w:b/>
          <w:bCs/>
          <w:color w:val="FF4057"/>
          <w:sz w:val="19"/>
          <w:szCs w:val="19"/>
        </w:rPr>
        <w:t xml:space="preserve">[BREAKEVEN_RECUR]</w:t>
      </w:r>
      <w:r>
        <w:rPr>
          <w:rFonts w:ascii="Montserrat" w:cs="Montserrat" w:eastAsia="Montserrat" w:hAnsi="Montserrat"/>
          <w:b/>
          <w:bCs/>
          <w:i w:val="false"/>
          <w:iCs w:val="false"/>
          <w:color w:val="171717"/>
          <w:sz w:val="19"/>
          <w:szCs w:val="19"/>
        </w:rPr>
        <w:t xml:space="preserve"> exits a year after that.</w:t>
      </w:r>
    </w:p>
    <w:p>
      <w:pPr>
        <w:keepNext/>
        <w:spacing w:after="80" w:before="240" w:line="264"/>
        <w:outlineLvl w:val="1"/>
      </w:pPr>
      <w:r>
        <w:rPr>
          <w:rFonts w:ascii="Gazpacho" w:cs="Gazpacho" w:eastAsia="Gazpacho" w:hAnsi="Gazpacho"/>
          <w:i w:val="false"/>
          <w:iCs w:val="false"/>
          <w:color w:val="171717"/>
          <w:sz w:val="26"/>
          <w:szCs w:val="26"/>
        </w:rPr>
        <w:t xml:space="preserve">3 Cost and resourcing</w:t>
      </w:r>
    </w:p>
    <w:p>
      <w:pPr>
        <w:keepNext w:val="false"/>
        <w:spacing w:after="120" w:line="312"/>
      </w:pPr>
      <w:r>
        <w:rPr>
          <w:rFonts w:ascii="Montserrat" w:cs="Montserrat" w:eastAsia="Montserrat" w:hAnsi="Montserrat"/>
          <w:i w:val="false"/>
          <w:iCs w:val="false"/>
          <w:color w:val="171717"/>
          <w:sz w:val="19"/>
          <w:szCs w:val="19"/>
        </w:rPr>
        <w:t xml:space="preserve">Year one £</w:t>
      </w:r>
      <w:r>
        <w:rPr>
          <w:rFonts w:ascii="Montserrat" w:cs="Montserrat" w:eastAsia="Montserrat" w:hAnsi="Montserrat"/>
          <w:b/>
          <w:bCs/>
          <w:color w:val="FF4057"/>
          <w:sz w:val="19"/>
          <w:szCs w:val="19"/>
        </w:rPr>
        <w:t xml:space="preserve">[YEAR1]</w:t>
      </w:r>
      <w:r>
        <w:rPr>
          <w:rFonts w:ascii="Montserrat" w:cs="Montserrat" w:eastAsia="Montserrat" w:hAnsi="Montserrat"/>
          <w:i w:val="false"/>
          <w:iCs w:val="false"/>
          <w:color w:val="171717"/>
          <w:sz w:val="19"/>
          <w:szCs w:val="19"/>
        </w:rPr>
        <w:t xml:space="preserve">; later years £</w:t>
      </w:r>
      <w:r>
        <w:rPr>
          <w:rFonts w:ascii="Montserrat" w:cs="Montserrat" w:eastAsia="Montserrat" w:hAnsi="Montserrat"/>
          <w:b/>
          <w:bCs/>
          <w:color w:val="FF4057"/>
          <w:sz w:val="19"/>
          <w:szCs w:val="19"/>
        </w:rPr>
        <w:t xml:space="preserve">[RECURRING]</w:t>
      </w:r>
      <w:r>
        <w:rPr>
          <w:rFonts w:ascii="Montserrat" w:cs="Montserrat" w:eastAsia="Montserrat" w:hAnsi="Montserrat"/>
          <w:i w:val="false"/>
          <w:iCs w:val="false"/>
          <w:color w:val="171717"/>
          <w:sz w:val="19"/>
          <w:szCs w:val="19"/>
        </w:rPr>
        <w:t xml:space="preserve"> a year, funded from </w:t>
      </w:r>
      <w:r>
        <w:rPr>
          <w:rFonts w:ascii="Montserrat" w:cs="Montserrat" w:eastAsia="Montserrat" w:hAnsi="Montserrat"/>
          <w:b/>
          <w:bCs/>
          <w:color w:val="FF4057"/>
          <w:sz w:val="19"/>
          <w:szCs w:val="19"/>
        </w:rPr>
        <w:t xml:space="preserve">[BUDGET_SOURCE]</w:t>
      </w:r>
      <w:r>
        <w:rPr>
          <w:rFonts w:ascii="Montserrat" w:cs="Montserrat" w:eastAsia="Montserrat" w:hAnsi="Montserrat"/>
          <w:i w:val="false"/>
          <w:iCs w:val="false"/>
          <w:color w:val="171717"/>
          <w:sz w:val="19"/>
          <w:szCs w:val="19"/>
        </w:rPr>
        <w:t xml:space="preserve">. Implementation needs </w:t>
      </w:r>
      <w:r>
        <w:rPr>
          <w:rFonts w:ascii="Montserrat" w:cs="Montserrat" w:eastAsia="Montserrat" w:hAnsi="Montserrat"/>
          <w:b/>
          <w:bCs/>
          <w:color w:val="FF4057"/>
          <w:sz w:val="19"/>
          <w:szCs w:val="19"/>
        </w:rPr>
        <w:t xml:space="preserve">[HR_DAYS]</w:t>
      </w:r>
      <w:r>
        <w:rPr>
          <w:rFonts w:ascii="Montserrat" w:cs="Montserrat" w:eastAsia="Montserrat" w:hAnsi="Montserrat"/>
          <w:i w:val="false"/>
          <w:iCs w:val="false"/>
          <w:color w:val="171717"/>
          <w:sz w:val="19"/>
          <w:szCs w:val="19"/>
        </w:rPr>
        <w:t xml:space="preserve"> days of HR time and </w:t>
      </w:r>
      <w:r>
        <w:rPr>
          <w:rFonts w:ascii="Montserrat" w:cs="Montserrat" w:eastAsia="Montserrat" w:hAnsi="Montserrat"/>
          <w:b/>
          <w:bCs/>
          <w:color w:val="FF4057"/>
          <w:sz w:val="19"/>
          <w:szCs w:val="19"/>
        </w:rPr>
        <w:t xml:space="preserve">[MGR_HOURS]</w:t>
      </w:r>
      <w:r>
        <w:rPr>
          <w:rFonts w:ascii="Montserrat" w:cs="Montserrat" w:eastAsia="Montserrat" w:hAnsi="Montserrat"/>
          <w:i w:val="false"/>
          <w:iCs w:val="false"/>
          <w:color w:val="171717"/>
          <w:sz w:val="19"/>
          <w:szCs w:val="19"/>
        </w:rPr>
        <w:t xml:space="preserve"> hours of line manager training. No additional headcount is requested.</w:t>
      </w:r>
    </w:p>
    <w:p>
      <w:pPr>
        <w:keepNext/>
        <w:spacing w:after="80" w:before="240" w:line="264"/>
        <w:outlineLvl w:val="1"/>
      </w:pPr>
      <w:r>
        <w:rPr>
          <w:rFonts w:ascii="Gazpacho" w:cs="Gazpacho" w:eastAsia="Gazpacho" w:hAnsi="Gazpacho"/>
          <w:i w:val="false"/>
          <w:iCs w:val="false"/>
          <w:color w:val="171717"/>
          <w:sz w:val="26"/>
          <w:szCs w:val="26"/>
        </w:rPr>
        <w:t xml:space="preserve">4 Risk of no action</w:t>
      </w:r>
    </w:p>
    <w:p>
      <w:pPr>
        <w:pStyle w:val="ListParagraph"/>
        <w:keepNext/>
        <w:numPr>
          <w:ilvl w:val="0"/>
          <w:numId w:val="2"/>
        </w:numPr>
        <w:spacing w:after="60" w:line="300"/>
      </w:pPr>
      <w:r>
        <w:rPr>
          <w:rFonts w:ascii="Montserrat" w:cs="Montserrat" w:eastAsia="Montserrat" w:hAnsi="Montserrat"/>
          <w:b/>
          <w:bCs/>
          <w:i w:val="false"/>
          <w:iCs w:val="false"/>
          <w:color w:val="171717"/>
          <w:sz w:val="19"/>
          <w:szCs w:val="19"/>
        </w:rPr>
        <w:t xml:space="preserve">Attrition.</w:t>
      </w:r>
      <w:r>
        <w:rPr>
          <w:rFonts w:ascii="Montserrat" w:cs="Montserrat" w:eastAsia="Montserrat" w:hAnsi="Montserrat"/>
          <w:i w:val="false"/>
          <w:iCs w:val="false"/>
          <w:color w:val="171717"/>
          <w:sz w:val="19"/>
          <w:szCs w:val="19"/>
        </w:rPr>
        <w:t xml:space="preserve"> Continued avoidable exits from an experienced group, estimated at £</w:t>
      </w:r>
      <w:r>
        <w:rPr>
          <w:rFonts w:ascii="Montserrat" w:cs="Montserrat" w:eastAsia="Montserrat" w:hAnsi="Montserrat"/>
          <w:b/>
          <w:bCs/>
          <w:color w:val="FF4057"/>
          <w:sz w:val="19"/>
          <w:szCs w:val="19"/>
        </w:rPr>
        <w:t xml:space="preserve">[EXPOSURE_LOW]</w:t>
      </w:r>
      <w:r>
        <w:rPr>
          <w:rFonts w:ascii="Montserrat" w:cs="Montserrat" w:eastAsia="Montserrat" w:hAnsi="Montserrat"/>
          <w:i w:val="false"/>
          <w:iCs w:val="false"/>
          <w:color w:val="171717"/>
          <w:sz w:val="19"/>
          <w:szCs w:val="19"/>
        </w:rPr>
        <w:t xml:space="preserve"> to £</w:t>
      </w:r>
      <w:r>
        <w:rPr>
          <w:rFonts w:ascii="Montserrat" w:cs="Montserrat" w:eastAsia="Montserrat" w:hAnsi="Montserrat"/>
          <w:b/>
          <w:bCs/>
          <w:color w:val="FF4057"/>
          <w:sz w:val="19"/>
          <w:szCs w:val="19"/>
        </w:rPr>
        <w:t xml:space="preserve">[EXPOSURE_HIGH]</w:t>
      </w:r>
      <w:r>
        <w:rPr>
          <w:rFonts w:ascii="Montserrat" w:cs="Montserrat" w:eastAsia="Montserrat" w:hAnsi="Montserrat"/>
          <w:i w:val="false"/>
          <w:iCs w:val="false"/>
          <w:color w:val="171717"/>
          <w:sz w:val="19"/>
          <w:szCs w:val="19"/>
        </w:rPr>
        <w:t xml:space="preserve"> a year.</w:t>
      </w:r>
    </w:p>
    <w:p>
      <w:pPr>
        <w:pStyle w:val="ListParagraph"/>
        <w:keepNext w:val="false"/>
        <w:numPr>
          <w:ilvl w:val="0"/>
          <w:numId w:val="2"/>
        </w:numPr>
        <w:spacing w:after="60" w:line="300"/>
      </w:pPr>
      <w:r>
        <w:rPr>
          <w:rFonts w:ascii="Montserrat" w:cs="Montserrat" w:eastAsia="Montserrat" w:hAnsi="Montserrat"/>
          <w:b/>
          <w:bCs/>
          <w:i w:val="false"/>
          <w:iCs w:val="false"/>
          <w:color w:val="171717"/>
          <w:sz w:val="19"/>
          <w:szCs w:val="19"/>
        </w:rPr>
        <w:t xml:space="preserve">Succession.</w:t>
      </w:r>
      <w:r>
        <w:rPr>
          <w:rFonts w:ascii="Montserrat" w:cs="Montserrat" w:eastAsia="Montserrat" w:hAnsi="Montserrat"/>
          <w:i w:val="false"/>
          <w:iCs w:val="false"/>
          <w:color w:val="171717"/>
          <w:sz w:val="19"/>
          <w:szCs w:val="19"/>
        </w:rPr>
        <w:t xml:space="preserve"> In the CIPD survey, 27% of those with symptoms reported a negative impact on their career progression.</w:t>
      </w:r>
    </w:p>
    <w:p>
      <w:pPr>
        <w:pStyle w:val="ListParagraph"/>
        <w:keepNext/>
        <w:numPr>
          <w:ilvl w:val="0"/>
          <w:numId w:val="2"/>
        </w:numPr>
        <w:spacing w:after="60" w:line="300"/>
      </w:pPr>
      <w:r>
        <w:rPr>
          <w:rFonts w:ascii="Montserrat" w:cs="Montserrat" w:eastAsia="Montserrat" w:hAnsi="Montserrat"/>
          <w:b/>
          <w:bCs/>
          <w:i w:val="false"/>
          <w:iCs w:val="false"/>
          <w:color w:val="171717"/>
          <w:sz w:val="19"/>
          <w:szCs w:val="19"/>
        </w:rPr>
        <w:t xml:space="preserve">Legal.</w:t>
      </w:r>
      <w:r>
        <w:rPr>
          <w:rFonts w:ascii="Montserrat" w:cs="Montserrat" w:eastAsia="Montserrat" w:hAnsi="Montserrat"/>
          <w:i w:val="false"/>
          <w:iCs w:val="false"/>
          <w:color w:val="171717"/>
          <w:sz w:val="19"/>
          <w:szCs w:val="19"/>
        </w:rPr>
        <w:t xml:space="preserve"> Menopause is not itself a protected characteristic, but claims can be brought under age, sex, disability and gender reassignment. Where symptoms meet the disability definition, the duty to make reasonable adjustments applies.</w:t>
      </w:r>
    </w:p>
    <w:p>
      <w:pPr>
        <w:pStyle w:val="ListParagraph"/>
        <w:keepNext w:val="false"/>
        <w:numPr>
          <w:ilvl w:val="0"/>
          <w:numId w:val="2"/>
        </w:numPr>
        <w:spacing w:after="60" w:line="300"/>
      </w:pPr>
      <w:r>
        <w:rPr>
          <w:rFonts w:ascii="Montserrat" w:cs="Montserrat" w:eastAsia="Montserrat" w:hAnsi="Montserrat"/>
          <w:b/>
          <w:bCs/>
          <w:color w:val="FF4057"/>
          <w:sz w:val="19"/>
          <w:szCs w:val="19"/>
        </w:rPr>
        <w:t xml:space="preserve">[250+ ONLY]</w:t>
      </w:r>
      <w:r>
        <w:rPr>
          <w:rFonts w:ascii="Montserrat" w:cs="Montserrat" w:eastAsia="Montserrat" w:hAnsi="Montserrat"/>
          <w:i w:val="false"/>
          <w:iCs w:val="false"/>
          <w:color w:val="171717"/>
          <w:sz w:val="19"/>
          <w:szCs w:val="19"/>
        </w:rPr>
        <w:t xml:space="preserve"> </w:t>
      </w:r>
      <w:r>
        <w:rPr>
          <w:rFonts w:ascii="Montserrat" w:cs="Montserrat" w:eastAsia="Montserrat" w:hAnsi="Montserrat"/>
          <w:b/>
          <w:bCs/>
          <w:i w:val="false"/>
          <w:iCs w:val="false"/>
          <w:color w:val="171717"/>
          <w:sz w:val="19"/>
          <w:szCs w:val="19"/>
        </w:rPr>
        <w:t xml:space="preserve">Regulatory direction.</w:t>
      </w:r>
      <w:r>
        <w:rPr>
          <w:rFonts w:ascii="Montserrat" w:cs="Montserrat" w:eastAsia="Montserrat" w:hAnsi="Montserrat"/>
          <w:i w:val="false"/>
          <w:iCs w:val="false"/>
          <w:color w:val="171717"/>
          <w:sz w:val="19"/>
          <w:szCs w:val="19"/>
        </w:rPr>
        <w:t xml:space="preserve"> The Employment Rights Bill, now before Parliament, would require employers with 250 or more employees to publish action plans covering menopause support. The Government’s roadmap (July 2025) expects a voluntary phase from April 2026 and a requirement from 2027.</w:t>
      </w:r>
    </w:p>
    <w:p>
      <w:pPr>
        <w:keepNext/>
        <w:spacing w:after="80" w:before="240" w:line="264"/>
        <w:outlineLvl w:val="1"/>
      </w:pPr>
      <w:r>
        <w:rPr>
          <w:rFonts w:ascii="Gazpacho" w:cs="Gazpacho" w:eastAsia="Gazpacho" w:hAnsi="Gazpacho"/>
          <w:i w:val="false"/>
          <w:iCs w:val="false"/>
          <w:color w:val="171717"/>
          <w:sz w:val="26"/>
          <w:szCs w:val="26"/>
        </w:rPr>
        <w:t xml:space="preserve">5 Implementation and review</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61"/>
        <w:gridCol w:w="5365"/>
        <w:gridCol w:w="2711"/>
      </w:tblGrid>
      <w:tr>
        <w:trPr>
          <w:cantSplit/>
          <w:tblHeader/>
        </w:trPr>
        <w:tc>
          <w:tcPr>
            <w:tcW w:type="dxa" w:w="1561"/>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PHASE</w:t>
            </w:r>
          </w:p>
        </w:tc>
        <w:tc>
          <w:tcPr>
            <w:tcW w:type="dxa" w:w="5365"/>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ACTIVITY</w:t>
            </w:r>
          </w:p>
        </w:tc>
        <w:tc>
          <w:tcPr>
            <w:tcW w:type="dxa" w:w="2711"/>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BY</w:t>
            </w:r>
          </w:p>
        </w:tc>
      </w:tr>
      <w:tr>
        <w:trPr>
          <w:cantSplit/>
        </w:trPr>
        <w:tc>
          <w:tcPr>
            <w:tcW w:type="dxa" w:w="156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1</w:t>
            </w:r>
          </w:p>
        </w:tc>
        <w:tc>
          <w:tcPr>
            <w:tcW w:type="dxa" w:w="536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Policy drafted, legally reviewed and published</w:t>
            </w:r>
          </w:p>
        </w:tc>
        <w:tc>
          <w:tcPr>
            <w:tcW w:type="dxa" w:w="271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[MONTH_1]</w:t>
            </w:r>
          </w:p>
        </w:tc>
      </w:tr>
      <w:tr>
        <w:trPr>
          <w:cantSplit/>
        </w:trPr>
        <w:tc>
          <w:tcPr>
            <w:tcW w:type="dxa" w:w="156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2</w:t>
            </w:r>
          </w:p>
        </w:tc>
        <w:tc>
          <w:tcPr>
            <w:tcW w:type="dxa" w:w="536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Line manager training delivered</w:t>
            </w:r>
          </w:p>
        </w:tc>
        <w:tc>
          <w:tcPr>
            <w:tcW w:type="dxa" w:w="271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[MONTH_2]</w:t>
            </w:r>
          </w:p>
        </w:tc>
      </w:tr>
      <w:tr>
        <w:trPr>
          <w:cantSplit/>
        </w:trPr>
        <w:tc>
          <w:tcPr>
            <w:tcW w:type="dxa" w:w="156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3</w:t>
            </w:r>
          </w:p>
        </w:tc>
        <w:tc>
          <w:tcPr>
            <w:tcW w:type="dxa" w:w="536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Adjustment request process live; named contact appointed</w:t>
            </w:r>
          </w:p>
        </w:tc>
        <w:tc>
          <w:tcPr>
            <w:tcW w:type="dxa" w:w="271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[MONTH_3]</w:t>
            </w:r>
          </w:p>
        </w:tc>
      </w:tr>
      <w:tr>
        <w:trPr>
          <w:cantSplit/>
        </w:trPr>
        <w:tc>
          <w:tcPr>
            <w:tcW w:type="dxa" w:w="156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4</w:t>
            </w:r>
          </w:p>
        </w:tc>
        <w:tc>
          <w:tcPr>
            <w:tcW w:type="dxa" w:w="536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Baseline retention, absence and adjustment data captured</w:t>
            </w:r>
          </w:p>
        </w:tc>
        <w:tc>
          <w:tcPr>
            <w:tcW w:type="dxa" w:w="271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[MONTH_4]</w:t>
            </w:r>
          </w:p>
        </w:tc>
      </w:tr>
      <w:tr>
        <w:trPr>
          <w:cantSplit/>
        </w:trPr>
        <w:tc>
          <w:tcPr>
            <w:tcW w:type="dxa" w:w="156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5</w:t>
            </w:r>
          </w:p>
        </w:tc>
        <w:tc>
          <w:tcPr>
            <w:tcW w:type="dxa" w:w="536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Review against baseline reported to the Board</w:t>
            </w:r>
          </w:p>
        </w:tc>
        <w:tc>
          <w:tcPr>
            <w:tcW w:type="dxa" w:w="271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[MONTH_5]</w:t>
            </w:r>
          </w:p>
        </w:tc>
      </w:tr>
    </w:tbl>
    <w:p>
      <w:pPr>
        <w:keepNext w:val="false"/>
        <w:spacing w:after="120"/>
      </w:pPr>
    </w:p>
    <w:p>
      <w:pPr>
        <w:keepNext/>
        <w:pBdr>
          <w:top w:val="single" w:color="171717" w:sz="12" w:space="8"/>
        </w:pBdr>
        <w:spacing w:after="120" w:before="360" w:line="264"/>
        <w:outlineLvl w:val="0"/>
      </w:pPr>
      <w:r>
        <w:rPr>
          <w:rFonts w:ascii="Gazpacho" w:cs="Gazpacho" w:eastAsia="Gazpacho" w:hAnsi="Gazpacho"/>
          <w:i w:val="false"/>
          <w:iCs w:val="false"/>
          <w:color w:val="171717"/>
          <w:sz w:val="36"/>
          <w:szCs w:val="36"/>
        </w:rPr>
        <w:t xml:space="preserve">Appendix: the provision the Board is approving</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E1E0DD" w:sz="4"/>
              <w:left w:val="single" w:color="E1E0DD" w:sz="4"/>
              <w:bottom w:val="single" w:color="E1E0DD" w:sz="4"/>
              <w:right w:val="single" w:color="E1E0DD" w:sz="4"/>
            </w:tcBorders>
            <w:shd w:fill="F5F5F3" w:color="auto" w:val="clear"/>
            <w:tcMar>
              <w:top w:type="dxa" w:w="160"/>
              <w:left w:type="dxa" w:w="200"/>
              <w:bottom w:type="dxa" w:w="120"/>
              <w:right w:type="dxa" w:w="200"/>
            </w:tcMar>
          </w:tcPr>
          <w:p>
            <w:pPr>
              <w:keepNext w:val="false"/>
              <w:spacing w:after="80"/>
            </w:pPr>
            <w:r>
              <w:rPr>
                <w:rFonts w:ascii="Montserrat" w:cs="Montserrat" w:eastAsia="Montserrat" w:hAnsi="Montserrat"/>
                <w:b/>
                <w:bCs/>
                <w:color w:val="FF4057"/>
                <w:spacing w:val="20"/>
                <w:sz w:val="14"/>
                <w:szCs w:val="14"/>
              </w:rPr>
              <w:t xml:space="preserve">APPENDIX TO THE BOARD PAPER</w:t>
            </w:r>
          </w:p>
          <w:p>
            <w:pPr>
              <w:keepNext/>
              <w:spacing w:after="80" w:line="300"/>
            </w:pPr>
            <w:r>
              <w:rPr>
                <w:rFonts w:ascii="Montserrat" w:cs="Montserrat" w:eastAsia="Montserrat" w:hAnsi="Montserrat"/>
                <w:i w:val="false"/>
                <w:iCs w:val="false"/>
                <w:color w:val="171717"/>
                <w:sz w:val="18"/>
                <w:szCs w:val="18"/>
              </w:rPr>
              <w:t xml:space="preserve">Attach this appendix. It shows exactly what is being approved.</w:t>
            </w:r>
          </w:p>
        </w:tc>
      </w:tr>
    </w:tbl>
    <w:p>
      <w:pPr>
        <w:keepNext/>
        <w:spacing w:after="120"/>
      </w:pPr>
    </w:p>
    <w:p>
      <w:pPr>
        <w:keepNext/>
        <w:spacing w:after="60" w:before="160"/>
        <w:outlineLvl w:val="2"/>
      </w:pPr>
      <w:r>
        <w:rPr>
          <w:rFonts w:ascii="Montserrat" w:cs="Montserrat" w:eastAsia="Montserrat" w:hAnsi="Montserrat"/>
          <w:b/>
          <w:bCs/>
          <w:i w:val="false"/>
          <w:iCs w:val="false"/>
          <w:color w:val="171717"/>
          <w:sz w:val="20"/>
          <w:szCs w:val="20"/>
        </w:rPr>
        <w:t xml:space="preserve">1 A written menopause policy</w:t>
      </w:r>
    </w:p>
    <w:p>
      <w:pPr>
        <w:pStyle w:val="ListParagraph"/>
        <w:keepNext/>
        <w:numPr>
          <w:ilvl w:val="0"/>
          <w:numId w:val="2"/>
        </w:numPr>
        <w:spacing w:after="60" w:line="300"/>
      </w:pPr>
      <w:r>
        <w:rPr>
          <w:rFonts w:ascii="Montserrat" w:cs="Montserrat" w:eastAsia="Montserrat" w:hAnsi="Montserrat"/>
          <w:i w:val="false"/>
          <w:iCs w:val="false"/>
          <w:color w:val="171717"/>
          <w:sz w:val="19"/>
          <w:szCs w:val="19"/>
        </w:rPr>
        <w:t xml:space="preserve">Acas recommends a menopause policy that is shared across the organisation and reviewed regularly.</w:t>
      </w:r>
    </w:p>
    <w:p>
      <w:pPr>
        <w:pStyle w:val="ListParagraph"/>
        <w:keepNext/>
        <w:numPr>
          <w:ilvl w:val="0"/>
          <w:numId w:val="2"/>
        </w:numPr>
        <w:spacing w:after="60" w:line="300"/>
      </w:pPr>
      <w:r>
        <w:rPr>
          <w:rFonts w:ascii="Montserrat" w:cs="Montserrat" w:eastAsia="Montserrat" w:hAnsi="Montserrat"/>
          <w:i w:val="false"/>
          <w:iCs w:val="false"/>
          <w:color w:val="171717"/>
          <w:sz w:val="19"/>
          <w:szCs w:val="19"/>
        </w:rPr>
        <w:t xml:space="preserve">States what support we offer, how to ask for it, who decides and how quickly.</w:t>
      </w:r>
    </w:p>
    <w:p>
      <w:pPr>
        <w:pStyle w:val="ListParagraph"/>
        <w:keepNext w:val="false"/>
        <w:numPr>
          <w:ilvl w:val="0"/>
          <w:numId w:val="2"/>
        </w:numPr>
        <w:spacing w:after="60" w:line="300"/>
      </w:pPr>
      <w:r>
        <w:rPr>
          <w:rFonts w:ascii="Montserrat" w:cs="Montserrat" w:eastAsia="Montserrat" w:hAnsi="Montserrat"/>
          <w:i w:val="false"/>
          <w:iCs w:val="false"/>
          <w:color w:val="171717"/>
          <w:sz w:val="19"/>
          <w:szCs w:val="19"/>
        </w:rPr>
        <w:t xml:space="preserve">Covers confidentiality and recording, and names an owner and a review date.</w:t>
      </w:r>
    </w:p>
    <w:p>
      <w:pPr>
        <w:keepNext/>
        <w:spacing w:after="60" w:before="160"/>
        <w:outlineLvl w:val="2"/>
      </w:pPr>
      <w:r>
        <w:rPr>
          <w:rFonts w:ascii="Montserrat" w:cs="Montserrat" w:eastAsia="Montserrat" w:hAnsi="Montserrat"/>
          <w:b/>
          <w:bCs/>
          <w:i w:val="false"/>
          <w:iCs w:val="false"/>
          <w:color w:val="171717"/>
          <w:sz w:val="20"/>
          <w:szCs w:val="20"/>
        </w:rPr>
        <w:t xml:space="preserve">2 Line manager training</w:t>
      </w:r>
    </w:p>
    <w:p>
      <w:pPr>
        <w:pStyle w:val="ListParagraph"/>
        <w:keepNext/>
        <w:numPr>
          <w:ilvl w:val="0"/>
          <w:numId w:val="2"/>
        </w:numPr>
        <w:spacing w:after="60" w:line="300"/>
      </w:pPr>
      <w:r>
        <w:rPr>
          <w:rFonts w:ascii="Montserrat" w:cs="Montserrat" w:eastAsia="Montserrat" w:hAnsi="Montserrat"/>
          <w:i w:val="false"/>
          <w:iCs w:val="false"/>
          <w:color w:val="171717"/>
          <w:sz w:val="19"/>
          <w:szCs w:val="19"/>
        </w:rPr>
        <w:t xml:space="preserve">Acas recommends training managers so that staff feel able to talk to them about menopause.</w:t>
      </w:r>
    </w:p>
    <w:p>
      <w:pPr>
        <w:pStyle w:val="ListParagraph"/>
        <w:keepNext/>
        <w:numPr>
          <w:ilvl w:val="0"/>
          <w:numId w:val="2"/>
        </w:numPr>
        <w:spacing w:after="60" w:line="300"/>
      </w:pPr>
      <w:r>
        <w:rPr>
          <w:rFonts w:ascii="Montserrat" w:cs="Montserrat" w:eastAsia="Montserrat" w:hAnsi="Montserrat"/>
          <w:i w:val="false"/>
          <w:iCs w:val="false"/>
          <w:color w:val="171717"/>
          <w:sz w:val="19"/>
          <w:szCs w:val="19"/>
        </w:rPr>
        <w:t xml:space="preserve">Covers how symptoms present, including cognitive and psychological ones, and how to respond to a disclosure.</w:t>
      </w:r>
    </w:p>
    <w:p>
      <w:pPr>
        <w:pStyle w:val="ListParagraph"/>
        <w:keepNext w:val="false"/>
        <w:numPr>
          <w:ilvl w:val="0"/>
          <w:numId w:val="2"/>
        </w:numPr>
        <w:spacing w:after="60" w:line="300"/>
      </w:pPr>
      <w:r>
        <w:rPr>
          <w:rFonts w:ascii="Montserrat" w:cs="Montserrat" w:eastAsia="Montserrat" w:hAnsi="Montserrat"/>
          <w:i w:val="false"/>
          <w:iCs w:val="false"/>
          <w:color w:val="171717"/>
          <w:sz w:val="19"/>
          <w:szCs w:val="19"/>
        </w:rPr>
        <w:t xml:space="preserve">Covers which adjustments managers can approve, Equality Act duties and confidentiality.</w:t>
      </w:r>
    </w:p>
    <w:p>
      <w:pPr>
        <w:keepNext/>
        <w:spacing w:after="60" w:before="160"/>
        <w:outlineLvl w:val="2"/>
      </w:pPr>
      <w:r>
        <w:rPr>
          <w:rFonts w:ascii="Montserrat" w:cs="Montserrat" w:eastAsia="Montserrat" w:hAnsi="Montserrat"/>
          <w:b/>
          <w:bCs/>
          <w:i w:val="false"/>
          <w:iCs w:val="false"/>
          <w:color w:val="171717"/>
          <w:sz w:val="20"/>
          <w:szCs w:val="20"/>
        </w:rPr>
        <w:t xml:space="preserve">3 Workplace adjustments and a request process</w:t>
      </w:r>
    </w:p>
    <w:p>
      <w:pPr>
        <w:pStyle w:val="ListParagraph"/>
        <w:keepNext/>
        <w:numPr>
          <w:ilvl w:val="0"/>
          <w:numId w:val="2"/>
        </w:numPr>
        <w:spacing w:after="60" w:line="300"/>
      </w:pPr>
      <w:r>
        <w:rPr>
          <w:rFonts w:ascii="Montserrat" w:cs="Montserrat" w:eastAsia="Montserrat" w:hAnsi="Montserrat"/>
          <w:i w:val="false"/>
          <w:iCs w:val="false"/>
          <w:color w:val="171717"/>
          <w:sz w:val="19"/>
          <w:szCs w:val="19"/>
        </w:rPr>
        <w:t xml:space="preserve">Tailored adjustments, such as flexible hours or location, temperature and ventilation control, rest and toilet access, uniform alternatives and time off for appointments.</w:t>
      </w:r>
    </w:p>
    <w:p>
      <w:pPr>
        <w:pStyle w:val="ListParagraph"/>
        <w:keepNext/>
        <w:numPr>
          <w:ilvl w:val="0"/>
          <w:numId w:val="2"/>
        </w:numPr>
        <w:spacing w:after="60" w:line="300"/>
      </w:pPr>
      <w:r>
        <w:rPr>
          <w:rFonts w:ascii="Montserrat" w:cs="Montserrat" w:eastAsia="Montserrat" w:hAnsi="Montserrat"/>
          <w:i w:val="false"/>
          <w:iCs w:val="false"/>
          <w:color w:val="171717"/>
          <w:sz w:val="19"/>
          <w:szCs w:val="19"/>
        </w:rPr>
        <w:t xml:space="preserve">In the CIPD survey, flexible working and temperature control were rated most helpful, but only 26% and 25% said their organisation offered them.</w:t>
      </w:r>
    </w:p>
    <w:p>
      <w:pPr>
        <w:pStyle w:val="ListParagraph"/>
        <w:keepNext w:val="false"/>
        <w:numPr>
          <w:ilvl w:val="0"/>
          <w:numId w:val="2"/>
        </w:numPr>
        <w:spacing w:after="60" w:line="300"/>
      </w:pPr>
      <w:r>
        <w:rPr>
          <w:rFonts w:ascii="Montserrat" w:cs="Montserrat" w:eastAsia="Montserrat" w:hAnsi="Montserrat"/>
          <w:i w:val="false"/>
          <w:iCs w:val="false"/>
          <w:color w:val="171717"/>
          <w:sz w:val="19"/>
          <w:szCs w:val="19"/>
        </w:rPr>
        <w:t xml:space="preserve">A set process: who to approach, how requests are recorded, response time, who decides and how to appeal.</w:t>
      </w:r>
    </w:p>
    <w:p>
      <w:pPr>
        <w:keepNext/>
        <w:spacing w:after="60" w:before="160"/>
        <w:outlineLvl w:val="2"/>
      </w:pPr>
      <w:r>
        <w:rPr>
          <w:rFonts w:ascii="Montserrat" w:cs="Montserrat" w:eastAsia="Montserrat" w:hAnsi="Montserrat"/>
          <w:b/>
          <w:bCs/>
          <w:i w:val="false"/>
          <w:iCs w:val="false"/>
          <w:color w:val="171717"/>
          <w:sz w:val="20"/>
          <w:szCs w:val="20"/>
        </w:rPr>
        <w:t xml:space="preserve">4 Health and safety risk assessment</w:t>
      </w:r>
    </w:p>
    <w:p>
      <w:pPr>
        <w:pStyle w:val="ListParagraph"/>
        <w:keepNext/>
        <w:numPr>
          <w:ilvl w:val="0"/>
          <w:numId w:val="2"/>
        </w:numPr>
        <w:spacing w:after="60" w:line="300"/>
      </w:pPr>
      <w:r>
        <w:rPr>
          <w:rFonts w:ascii="Montserrat" w:cs="Montserrat" w:eastAsia="Montserrat" w:hAnsi="Montserrat"/>
          <w:i w:val="false"/>
          <w:iCs w:val="false"/>
          <w:color w:val="171717"/>
          <w:sz w:val="19"/>
          <w:szCs w:val="19"/>
        </w:rPr>
        <w:t xml:space="preserve">Acas links menopause to the risk assessment: make sure working conditions do not make symptoms worse.</w:t>
      </w:r>
    </w:p>
    <w:p>
      <w:pPr>
        <w:pStyle w:val="ListParagraph"/>
        <w:keepNext w:val="false"/>
        <w:numPr>
          <w:ilvl w:val="0"/>
          <w:numId w:val="2"/>
        </w:numPr>
        <w:spacing w:after="60" w:line="300"/>
      </w:pPr>
      <w:r>
        <w:rPr>
          <w:rFonts w:ascii="Montserrat" w:cs="Montserrat" w:eastAsia="Montserrat" w:hAnsi="Montserrat"/>
          <w:i w:val="false"/>
          <w:iCs w:val="false"/>
          <w:color w:val="171717"/>
          <w:sz w:val="19"/>
          <w:szCs w:val="19"/>
        </w:rPr>
        <w:t xml:space="preserve">Review temperature, ventilation, uniform materials, rest facilities and toilet access, under our general duty in the Health and Safety at Work etc. Act 1974.</w:t>
      </w:r>
    </w:p>
    <w:p>
      <w:pPr>
        <w:keepNext/>
        <w:spacing w:after="60" w:before="160"/>
        <w:outlineLvl w:val="2"/>
      </w:pPr>
      <w:r>
        <w:rPr>
          <w:rFonts w:ascii="Montserrat" w:cs="Montserrat" w:eastAsia="Montserrat" w:hAnsi="Montserrat"/>
          <w:b/>
          <w:bCs/>
          <w:i w:val="false"/>
          <w:iCs w:val="false"/>
          <w:color w:val="171717"/>
          <w:sz w:val="20"/>
          <w:szCs w:val="20"/>
        </w:rPr>
        <w:t xml:space="preserve">5 Absence management</w:t>
      </w:r>
    </w:p>
    <w:p>
      <w:pPr>
        <w:pStyle w:val="ListParagraph"/>
        <w:keepNext/>
        <w:numPr>
          <w:ilvl w:val="0"/>
          <w:numId w:val="2"/>
        </w:numPr>
        <w:spacing w:after="60" w:line="300"/>
      </w:pPr>
      <w:r>
        <w:rPr>
          <w:rFonts w:ascii="Montserrat" w:cs="Montserrat" w:eastAsia="Montserrat" w:hAnsi="Montserrat"/>
          <w:i w:val="false"/>
          <w:iCs w:val="false"/>
          <w:color w:val="171717"/>
          <w:sz w:val="19"/>
          <w:szCs w:val="19"/>
        </w:rPr>
        <w:t xml:space="preserve">Record menopause-related absence separately from other sickness absence, as Acas recommends.</w:t>
      </w:r>
    </w:p>
    <w:p>
      <w:pPr>
        <w:pStyle w:val="ListParagraph"/>
        <w:keepNext w:val="false"/>
        <w:numPr>
          <w:ilvl w:val="0"/>
          <w:numId w:val="2"/>
        </w:numPr>
        <w:spacing w:after="60" w:line="300"/>
      </w:pPr>
      <w:r>
        <w:rPr>
          <w:rFonts w:ascii="Montserrat" w:cs="Montserrat" w:eastAsia="Montserrat" w:hAnsi="Montserrat"/>
          <w:i w:val="false"/>
          <w:iCs w:val="false"/>
          <w:color w:val="171717"/>
          <w:sz w:val="19"/>
          <w:szCs w:val="19"/>
        </w:rPr>
        <w:t xml:space="preserve">Set out how it interacts with absence trigger points and who can apply discretion. No clinical disclosure is needed to record it.</w:t>
      </w:r>
    </w:p>
    <w:p>
      <w:pPr>
        <w:keepNext/>
        <w:spacing w:after="60" w:before="160"/>
        <w:outlineLvl w:val="2"/>
      </w:pPr>
      <w:r>
        <w:rPr>
          <w:rFonts w:ascii="Montserrat" w:cs="Montserrat" w:eastAsia="Montserrat" w:hAnsi="Montserrat"/>
          <w:b/>
          <w:bCs/>
          <w:i w:val="false"/>
          <w:iCs w:val="false"/>
          <w:color w:val="171717"/>
          <w:sz w:val="20"/>
          <w:szCs w:val="20"/>
        </w:rPr>
        <w:t xml:space="preserve">6 A named contact and specialist access</w:t>
      </w:r>
    </w:p>
    <w:p>
      <w:pPr>
        <w:pStyle w:val="ListParagraph"/>
        <w:keepNext/>
        <w:numPr>
          <w:ilvl w:val="0"/>
          <w:numId w:val="2"/>
        </w:numPr>
        <w:spacing w:after="60" w:line="300"/>
      </w:pPr>
      <w:r>
        <w:rPr>
          <w:rFonts w:ascii="Montserrat" w:cs="Montserrat" w:eastAsia="Montserrat" w:hAnsi="Montserrat"/>
          <w:i w:val="false"/>
          <w:iCs w:val="false"/>
          <w:color w:val="171717"/>
          <w:sz w:val="19"/>
          <w:szCs w:val="19"/>
        </w:rPr>
        <w:t xml:space="preserve">A menopause or wellbeing champion as a route that is not the line manager. A non-clinical role with a set time allocation.</w:t>
      </w:r>
    </w:p>
    <w:p>
      <w:pPr>
        <w:pStyle w:val="ListParagraph"/>
        <w:keepNext w:val="false"/>
        <w:numPr>
          <w:ilvl w:val="0"/>
          <w:numId w:val="2"/>
        </w:numPr>
        <w:spacing w:after="60" w:line="300"/>
      </w:pPr>
      <w:r>
        <w:rPr>
          <w:rFonts w:ascii="Montserrat" w:cs="Montserrat" w:eastAsia="Montserrat" w:hAnsi="Montserrat"/>
          <w:i w:val="false"/>
          <w:iCs w:val="false"/>
          <w:color w:val="171717"/>
          <w:sz w:val="19"/>
          <w:szCs w:val="19"/>
        </w:rPr>
        <w:t xml:space="preserve">Access to occupational health or specialist clinical advice where an adjustment needs it.</w:t>
      </w:r>
    </w:p>
    <w:p>
      <w:pPr>
        <w:keepNext/>
        <w:spacing w:after="60" w:before="160"/>
        <w:outlineLvl w:val="2"/>
      </w:pPr>
      <w:r>
        <w:rPr>
          <w:rFonts w:ascii="Montserrat" w:cs="Montserrat" w:eastAsia="Montserrat" w:hAnsi="Montserrat"/>
          <w:b/>
          <w:bCs/>
          <w:i w:val="false"/>
          <w:iCs w:val="false"/>
          <w:color w:val="171717"/>
          <w:sz w:val="20"/>
          <w:szCs w:val="20"/>
        </w:rPr>
        <w:t xml:space="preserve">7 Measurement and reporting</w:t>
      </w:r>
    </w:p>
    <w:p>
      <w:pPr>
        <w:pStyle w:val="ListParagraph"/>
        <w:keepNext/>
        <w:numPr>
          <w:ilvl w:val="0"/>
          <w:numId w:val="2"/>
        </w:numPr>
        <w:spacing w:after="60" w:line="300"/>
      </w:pPr>
      <w:r>
        <w:rPr>
          <w:rFonts w:ascii="Montserrat" w:cs="Montserrat" w:eastAsia="Montserrat" w:hAnsi="Montserrat"/>
          <w:i w:val="false"/>
          <w:iCs w:val="false"/>
          <w:color w:val="171717"/>
          <w:sz w:val="19"/>
          <w:szCs w:val="19"/>
        </w:rPr>
        <w:t xml:space="preserve">Baseline three measures before launch: voluntary attrition in the affected group, menopause-related absence and adjustment uptake.</w:t>
      </w:r>
    </w:p>
    <w:p>
      <w:pPr>
        <w:pStyle w:val="ListParagraph"/>
        <w:keepNext/>
        <w:numPr>
          <w:ilvl w:val="0"/>
          <w:numId w:val="2"/>
        </w:numPr>
        <w:spacing w:after="60" w:line="300"/>
      </w:pPr>
      <w:r>
        <w:rPr>
          <w:rFonts w:ascii="Montserrat" w:cs="Montserrat" w:eastAsia="Montserrat" w:hAnsi="Montserrat"/>
          <w:i w:val="false"/>
          <w:iCs w:val="false"/>
          <w:color w:val="171717"/>
          <w:sz w:val="19"/>
          <w:szCs w:val="19"/>
        </w:rPr>
        <w:t xml:space="preserve">Report against them at 12 months, with a recommendation to continue, change or stop.</w:t>
      </w:r>
    </w:p>
    <w:p>
      <w:pPr>
        <w:pStyle w:val="ListParagraph"/>
        <w:keepNext w:val="false"/>
        <w:numPr>
          <w:ilvl w:val="0"/>
          <w:numId w:val="2"/>
        </w:numPr>
        <w:spacing w:after="60" w:line="300"/>
      </w:pPr>
      <w:r>
        <w:rPr>
          <w:rFonts w:ascii="Montserrat" w:cs="Montserrat" w:eastAsia="Montserrat" w:hAnsi="Montserrat"/>
          <w:b/>
          <w:bCs/>
          <w:color w:val="FF4057"/>
          <w:sz w:val="19"/>
          <w:szCs w:val="19"/>
        </w:rPr>
        <w:t xml:space="preserve">[250+ ONLY]</w:t>
      </w:r>
      <w:r>
        <w:rPr>
          <w:rFonts w:ascii="Montserrat" w:cs="Montserrat" w:eastAsia="Montserrat" w:hAnsi="Montserrat"/>
          <w:i w:val="false"/>
          <w:iCs w:val="false"/>
          <w:color w:val="171717"/>
          <w:sz w:val="19"/>
          <w:szCs w:val="19"/>
        </w:rPr>
        <w:t xml:space="preserve"> Prepare for the action plans proposed in the Employment Rights Bill: a voluntary phase is planned from April 2026.</w:t>
      </w:r>
    </w:p>
    <w:p>
      <w:pPr>
        <w:keepNext/>
        <w:pBdr>
          <w:top w:val="single" w:color="171717" w:sz="12" w:space="8"/>
        </w:pBdr>
        <w:spacing w:after="120" w:before="360" w:line="264"/>
        <w:outlineLvl w:val="0"/>
      </w:pPr>
      <w:r>
        <w:rPr>
          <w:rFonts w:ascii="Gazpacho" w:cs="Gazpacho" w:eastAsia="Gazpacho" w:hAnsi="Gazpacho"/>
          <w:i w:val="false"/>
          <w:iCs w:val="false"/>
          <w:color w:val="171717"/>
          <w:sz w:val="36"/>
          <w:szCs w:val="36"/>
        </w:rPr>
        <w:t xml:space="preserve">Likely board questions</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E1E0DD" w:sz="4"/>
              <w:left w:val="single" w:color="E1E0DD" w:sz="4"/>
              <w:bottom w:val="single" w:color="E1E0DD" w:sz="4"/>
              <w:right w:val="single" w:color="E1E0DD" w:sz="4"/>
            </w:tcBorders>
            <w:shd w:fill="F5F5F3" w:color="auto" w:val="clear"/>
            <w:tcMar>
              <w:top w:type="dxa" w:w="160"/>
              <w:left w:type="dxa" w:w="200"/>
              <w:bottom w:type="dxa" w:w="120"/>
              <w:right w:type="dxa" w:w="200"/>
            </w:tcMar>
          </w:tcPr>
          <w:p>
            <w:pPr>
              <w:keepNext w:val="false"/>
              <w:spacing w:after="80"/>
            </w:pPr>
            <w:r>
              <w:rPr>
                <w:rFonts w:ascii="Montserrat" w:cs="Montserrat" w:eastAsia="Montserrat" w:hAnsi="Montserrat"/>
                <w:b/>
                <w:bCs/>
                <w:color w:val="FF4057"/>
                <w:spacing w:val="20"/>
                <w:sz w:val="14"/>
                <w:szCs w:val="14"/>
              </w:rPr>
              <w:t xml:space="preserve">GUIDANCE · BE READY FOR</w:t>
            </w:r>
          </w:p>
          <w:p>
            <w:pPr>
              <w:keepNext/>
              <w:spacing w:after="80" w:line="300"/>
            </w:pPr>
            <w:r>
              <w:rPr>
                <w:rFonts w:ascii="Montserrat" w:cs="Montserrat" w:eastAsia="Montserrat" w:hAnsi="Montserrat"/>
                <w:i w:val="false"/>
                <w:iCs w:val="false"/>
                <w:color w:val="171717"/>
                <w:sz w:val="18"/>
                <w:szCs w:val="18"/>
              </w:rPr>
              <w:t xml:space="preserve">Your preparation. Do not circulate.</w:t>
            </w:r>
          </w:p>
        </w:tc>
      </w:tr>
    </w:tbl>
    <w:p>
      <w:pPr>
        <w:keepNext/>
        <w:spacing w:after="120"/>
      </w:pPr>
    </w:p>
    <w:p>
      <w:pPr>
        <w:keepNext/>
        <w:spacing w:after="60" w:before="160"/>
        <w:outlineLvl w:val="2"/>
      </w:pPr>
      <w:r>
        <w:rPr>
          <w:rFonts w:ascii="Montserrat" w:cs="Montserrat" w:eastAsia="Montserrat" w:hAnsi="Montserrat"/>
          <w:b/>
          <w:bCs/>
          <w:i w:val="false"/>
          <w:iCs w:val="false"/>
          <w:color w:val="171717"/>
          <w:sz w:val="20"/>
          <w:szCs w:val="20"/>
        </w:rPr>
        <w:t xml:space="preserve">Q1. Why this group and not others?</w:t>
      </w:r>
    </w:p>
    <w:p>
      <w:pPr>
        <w:keepNext w:val="false"/>
        <w:spacing w:after="120" w:line="312"/>
      </w:pPr>
      <w:r>
        <w:rPr>
          <w:rFonts w:ascii="Montserrat" w:cs="Montserrat" w:eastAsia="Montserrat" w:hAnsi="Montserrat"/>
          <w:i w:val="false"/>
          <w:iCs w:val="false"/>
          <w:color w:val="171717"/>
          <w:sz w:val="19"/>
          <w:szCs w:val="19"/>
        </w:rPr>
        <w:t xml:space="preserve">It is quantifiable and its replacement cost is high. The same test can be run on other groups; this paper does not say this group matters more.</w:t>
      </w:r>
    </w:p>
    <w:p>
      <w:pPr>
        <w:keepNext/>
        <w:spacing w:after="60" w:before="160"/>
        <w:outlineLvl w:val="2"/>
      </w:pPr>
      <w:r>
        <w:rPr>
          <w:rFonts w:ascii="Montserrat" w:cs="Montserrat" w:eastAsia="Montserrat" w:hAnsi="Montserrat"/>
          <w:b/>
          <w:bCs/>
          <w:i w:val="false"/>
          <w:iCs w:val="false"/>
          <w:color w:val="171717"/>
          <w:sz w:val="20"/>
          <w:szCs w:val="20"/>
        </w:rPr>
        <w:t xml:space="preserve">Q2. What is the evidence this changes attrition?</w:t>
      </w:r>
    </w:p>
    <w:p>
      <w:pPr>
        <w:keepNext w:val="false"/>
        <w:spacing w:after="120" w:line="312"/>
      </w:pPr>
      <w:r>
        <w:rPr>
          <w:rFonts w:ascii="Montserrat" w:cs="Montserrat" w:eastAsia="Montserrat" w:hAnsi="Montserrat"/>
          <w:i w:val="false"/>
          <w:iCs w:val="false"/>
          <w:color w:val="171717"/>
          <w:sz w:val="19"/>
          <w:szCs w:val="19"/>
        </w:rPr>
        <w:t xml:space="preserve">Limited, and say so. A Government Office for Science expert roundtable (notes published August 2024) recorded credible evidence that early and severe menopause can reduce productivity and time in employment. The same notes record a lack of research on workplace interventions. That is why the case rests on break-even, not a forecast return.</w:t>
      </w:r>
    </w:p>
    <w:p>
      <w:pPr>
        <w:keepNext/>
        <w:spacing w:after="60" w:before="160"/>
        <w:outlineLvl w:val="2"/>
      </w:pPr>
      <w:r>
        <w:rPr>
          <w:rFonts w:ascii="Montserrat" w:cs="Montserrat" w:eastAsia="Montserrat" w:hAnsi="Montserrat"/>
          <w:b/>
          <w:bCs/>
          <w:i w:val="false"/>
          <w:iCs w:val="false"/>
          <w:color w:val="171717"/>
          <w:sz w:val="20"/>
          <w:szCs w:val="20"/>
        </w:rPr>
        <w:t xml:space="preserve">Q3. What does it cost per head?</w:t>
      </w:r>
    </w:p>
    <w:p>
      <w:pPr>
        <w:keepNext w:val="false"/>
        <w:spacing w:after="120" w:line="312"/>
      </w:pPr>
      <w:r>
        <w:rPr>
          <w:rFonts w:ascii="Montserrat" w:cs="Montserrat" w:eastAsia="Montserrat" w:hAnsi="Montserrat"/>
          <w:i w:val="false"/>
          <w:iCs w:val="false"/>
          <w:color w:val="171717"/>
          <w:sz w:val="19"/>
          <w:szCs w:val="19"/>
        </w:rPr>
        <w:t xml:space="preserve">£</w:t>
      </w:r>
      <w:r>
        <w:rPr>
          <w:rFonts w:ascii="Montserrat" w:cs="Montserrat" w:eastAsia="Montserrat" w:hAnsi="Montserrat"/>
          <w:b/>
          <w:bCs/>
          <w:color w:val="FF4057"/>
          <w:sz w:val="19"/>
          <w:szCs w:val="19"/>
        </w:rPr>
        <w:t xml:space="preserve">[PER_HEAD]</w:t>
      </w:r>
      <w:r>
        <w:rPr>
          <w:rFonts w:ascii="Montserrat" w:cs="Montserrat" w:eastAsia="Montserrat" w:hAnsi="Montserrat"/>
          <w:i w:val="false"/>
          <w:iCs w:val="false"/>
          <w:color w:val="171717"/>
          <w:sz w:val="19"/>
          <w:szCs w:val="19"/>
        </w:rPr>
        <w:t xml:space="preserve"> per employee, or £</w:t>
      </w:r>
      <w:r>
        <w:rPr>
          <w:rFonts w:ascii="Montserrat" w:cs="Montserrat" w:eastAsia="Montserrat" w:hAnsi="Montserrat"/>
          <w:b/>
          <w:bCs/>
          <w:color w:val="FF4057"/>
          <w:sz w:val="19"/>
          <w:szCs w:val="19"/>
        </w:rPr>
        <w:t xml:space="preserve">[PER_BAND_HEAD]</w:t>
      </w:r>
      <w:r>
        <w:rPr>
          <w:rFonts w:ascii="Montserrat" w:cs="Montserrat" w:eastAsia="Montserrat" w:hAnsi="Montserrat"/>
          <w:i w:val="false"/>
          <w:iCs w:val="false"/>
          <w:color w:val="171717"/>
          <w:sz w:val="19"/>
          <w:szCs w:val="19"/>
        </w:rPr>
        <w:t xml:space="preserve"> per woman in the group, in year one. Compare it with one agency fee at this grade.</w:t>
      </w:r>
    </w:p>
    <w:p>
      <w:pPr>
        <w:keepNext/>
        <w:spacing w:after="60" w:before="160"/>
        <w:outlineLvl w:val="2"/>
      </w:pPr>
      <w:r>
        <w:rPr>
          <w:rFonts w:ascii="Montserrat" w:cs="Montserrat" w:eastAsia="Montserrat" w:hAnsi="Montserrat"/>
          <w:b/>
          <w:bCs/>
          <w:i w:val="false"/>
          <w:iCs w:val="false"/>
          <w:color w:val="171717"/>
          <w:sz w:val="20"/>
          <w:szCs w:val="20"/>
        </w:rPr>
        <w:t xml:space="preserve">Q4. Are we creating a precedent?</w:t>
      </w:r>
    </w:p>
    <w:p>
      <w:pPr>
        <w:keepNext w:val="false"/>
        <w:spacing w:after="120" w:line="312"/>
      </w:pPr>
      <w:r>
        <w:rPr>
          <w:rFonts w:ascii="Montserrat" w:cs="Montserrat" w:eastAsia="Montserrat" w:hAnsi="Montserrat"/>
          <w:i w:val="false"/>
          <w:iCs w:val="false"/>
          <w:color w:val="171717"/>
          <w:sz w:val="19"/>
          <w:szCs w:val="19"/>
        </w:rPr>
        <w:t xml:space="preserve">Yes: where an identifiable group faces a barrier we can remove at a known cost, we act. Parental leave, phased return and reasonable adjustments follow the same principle.</w:t>
      </w:r>
    </w:p>
    <w:p>
      <w:pPr>
        <w:keepNext/>
        <w:spacing w:after="60" w:before="160"/>
        <w:outlineLvl w:val="2"/>
      </w:pPr>
      <w:r>
        <w:rPr>
          <w:rFonts w:ascii="Montserrat" w:cs="Montserrat" w:eastAsia="Montserrat" w:hAnsi="Montserrat"/>
          <w:b/>
          <w:bCs/>
          <w:i w:val="false"/>
          <w:iCs w:val="false"/>
          <w:color w:val="171717"/>
          <w:sz w:val="20"/>
          <w:szCs w:val="20"/>
        </w:rPr>
        <w:t xml:space="preserve">Q5. What is our legal exposure if we do nothing?</w:t>
      </w:r>
    </w:p>
    <w:p>
      <w:pPr>
        <w:keepNext w:val="false"/>
        <w:spacing w:after="120" w:line="312"/>
      </w:pPr>
      <w:r>
        <w:rPr>
          <w:rFonts w:ascii="Montserrat" w:cs="Montserrat" w:eastAsia="Montserrat" w:hAnsi="Montserrat"/>
          <w:i w:val="false"/>
          <w:iCs w:val="false"/>
          <w:color w:val="171717"/>
          <w:sz w:val="19"/>
          <w:szCs w:val="19"/>
        </w:rPr>
        <w:t xml:space="preserve">See the legal position below. In practice it sits in how managers respond to disclosure and how absence is recorded. The proposal addresses both.</w:t>
      </w:r>
    </w:p>
    <w:p>
      <w:pPr>
        <w:keepNext/>
        <w:spacing w:after="60" w:before="160"/>
        <w:outlineLvl w:val="2"/>
      </w:pPr>
      <w:r>
        <w:rPr>
          <w:rFonts w:ascii="Montserrat" w:cs="Montserrat" w:eastAsia="Montserrat" w:hAnsi="Montserrat"/>
          <w:b/>
          <w:bCs/>
          <w:i w:val="false"/>
          <w:iCs w:val="false"/>
          <w:color w:val="171717"/>
          <w:sz w:val="20"/>
          <w:szCs w:val="20"/>
        </w:rPr>
        <w:t xml:space="preserve">Q6. Can managers not handle this case by case?</w:t>
      </w:r>
    </w:p>
    <w:p>
      <w:pPr>
        <w:keepNext w:val="false"/>
        <w:spacing w:after="120" w:line="312"/>
      </w:pPr>
      <w:r>
        <w:rPr>
          <w:rFonts w:ascii="Montserrat" w:cs="Montserrat" w:eastAsia="Montserrat" w:hAnsi="Montserrat"/>
          <w:i w:val="false"/>
          <w:iCs w:val="false"/>
          <w:color w:val="171717"/>
          <w:sz w:val="19"/>
          <w:szCs w:val="19"/>
        </w:rPr>
        <w:t xml:space="preserve">They do now, and the outcome depends on the manager. Training and a written process make outcomes consistent and predictable.</w:t>
      </w:r>
    </w:p>
    <w:p>
      <w:pPr>
        <w:keepNext/>
        <w:spacing w:after="60" w:before="160"/>
        <w:outlineLvl w:val="2"/>
      </w:pPr>
      <w:r>
        <w:rPr>
          <w:rFonts w:ascii="Montserrat" w:cs="Montserrat" w:eastAsia="Montserrat" w:hAnsi="Montserrat"/>
          <w:b/>
          <w:bCs/>
          <w:i w:val="false"/>
          <w:iCs w:val="false"/>
          <w:color w:val="171717"/>
          <w:sz w:val="20"/>
          <w:szCs w:val="20"/>
        </w:rPr>
        <w:t xml:space="preserve">Q7. Should we benchmark first?</w:t>
      </w:r>
    </w:p>
    <w:p>
      <w:pPr>
        <w:keepNext w:val="false"/>
        <w:spacing w:after="120" w:line="312"/>
      </w:pPr>
      <w:r>
        <w:rPr>
          <w:rFonts w:ascii="Montserrat" w:cs="Montserrat" w:eastAsia="Montserrat" w:hAnsi="Montserrat"/>
          <w:i w:val="false"/>
          <w:iCs w:val="false"/>
          <w:color w:val="171717"/>
          <w:sz w:val="19"/>
          <w:szCs w:val="19"/>
        </w:rPr>
        <w:t xml:space="preserve">Benchmarking shows whether we are behind, not whether this is worth doing. If pressed: eight in ten women in the Fawcett survey said their employer had not shared information or trained staff.</w:t>
      </w:r>
    </w:p>
    <w:p>
      <w:pPr>
        <w:keepNext/>
        <w:spacing w:after="60" w:before="160"/>
        <w:outlineLvl w:val="2"/>
      </w:pPr>
      <w:r>
        <w:rPr>
          <w:rFonts w:ascii="Montserrat" w:cs="Montserrat" w:eastAsia="Montserrat" w:hAnsi="Montserrat"/>
          <w:b/>
          <w:bCs/>
          <w:i w:val="false"/>
          <w:iCs w:val="false"/>
          <w:color w:val="171717"/>
          <w:sz w:val="20"/>
          <w:szCs w:val="20"/>
        </w:rPr>
        <w:t xml:space="preserve">Q8. How will we know it worked?</w:t>
      </w:r>
    </w:p>
    <w:p>
      <w:pPr>
        <w:keepNext w:val="false"/>
        <w:spacing w:after="120" w:line="312"/>
      </w:pPr>
      <w:r>
        <w:rPr>
          <w:rFonts w:ascii="Montserrat" w:cs="Montserrat" w:eastAsia="Montserrat" w:hAnsi="Montserrat"/>
          <w:i w:val="false"/>
          <w:iCs w:val="false"/>
          <w:color w:val="171717"/>
          <w:sz w:val="19"/>
          <w:szCs w:val="19"/>
        </w:rPr>
        <w:t xml:space="preserve">We baseline three measures and report at 12 months. If attrition in the group has not moved, we recommend changing or stopping the programme.</w:t>
      </w:r>
    </w:p>
    <w:p>
      <w:pPr>
        <w:keepNext/>
        <w:spacing w:after="80" w:before="240" w:line="264"/>
        <w:outlineLvl w:val="1"/>
      </w:pPr>
      <w:r>
        <w:rPr>
          <w:rFonts w:ascii="Gazpacho" w:cs="Gazpacho" w:eastAsia="Gazpacho" w:hAnsi="Gazpacho"/>
          <w:i w:val="false"/>
          <w:iCs w:val="false"/>
          <w:color w:val="171717"/>
          <w:sz w:val="26"/>
          <w:szCs w:val="26"/>
        </w:rPr>
        <w:t xml:space="preserve">Legal position</w:t>
      </w:r>
    </w:p>
    <w:p>
      <w:pPr>
        <w:keepNext/>
        <w:spacing w:after="120" w:line="312"/>
      </w:pPr>
      <w:r>
        <w:rPr>
          <w:rFonts w:ascii="Montserrat" w:cs="Montserrat" w:eastAsia="Montserrat" w:hAnsi="Montserrat"/>
          <w:b/>
          <w:bCs/>
          <w:i w:val="false"/>
          <w:iCs w:val="false"/>
          <w:color w:val="171717"/>
          <w:sz w:val="19"/>
          <w:szCs w:val="19"/>
        </w:rPr>
        <w:t xml:space="preserve">Equality Act 2010.</w:t>
      </w:r>
      <w:r>
        <w:rPr>
          <w:rFonts w:ascii="Montserrat" w:cs="Montserrat" w:eastAsia="Montserrat" w:hAnsi="Montserrat"/>
          <w:i w:val="false"/>
          <w:iCs w:val="false"/>
          <w:color w:val="171717"/>
          <w:sz w:val="19"/>
          <w:szCs w:val="19"/>
        </w:rPr>
        <w:t xml:space="preserve"> Menopause is not itself a protected characteristic. Acas confirms claims can be brought under age, sex, disability and gender reassignment. Symptoms with a substantial and long-term adverse effect on normal day-to-day activities may meet the disability definition. The reasonable adjustments duty then applies (EHRC guidance for employers (February 2024)).</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06"/>
        <w:gridCol w:w="7331"/>
      </w:tblGrid>
      <w:tr>
        <w:trPr>
          <w:cantSplit/>
          <w:tblHeader/>
        </w:trPr>
        <w:tc>
          <w:tcPr>
            <w:tcW w:type="dxa" w:w="2306"/>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ACTION PLANS</w:t>
            </w:r>
          </w:p>
        </w:tc>
        <w:tc>
          <w:tcPr>
            <w:tcW w:type="dxa" w:w="7331"/>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POSITION AT 5 NOVEMBER 2025</w:t>
            </w:r>
          </w:p>
        </w:tc>
      </w:tr>
      <w:tr>
        <w:trPr>
          <w:cantSplit/>
        </w:trPr>
        <w:tc>
          <w:tcPr>
            <w:tcW w:type="dxa" w:w="230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i w:val="false"/>
                <w:iCs w:val="false"/>
                <w:color w:val="171717"/>
                <w:sz w:val="17"/>
                <w:szCs w:val="17"/>
              </w:rPr>
              <w:t xml:space="preserve">Who</w:t>
            </w:r>
          </w:p>
        </w:tc>
        <w:tc>
          <w:tcPr>
            <w:tcW w:type="dxa" w:w="733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Employers with 250 or more employees, under the Employment Rights Bill (before Parliament at 5 November 2025).</w:t>
            </w:r>
          </w:p>
        </w:tc>
      </w:tr>
      <w:tr>
        <w:trPr>
          <w:cantSplit/>
        </w:trPr>
        <w:tc>
          <w:tcPr>
            <w:tcW w:type="dxa" w:w="230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i w:val="false"/>
                <w:iCs w:val="false"/>
                <w:color w:val="171717"/>
                <w:sz w:val="17"/>
                <w:szCs w:val="17"/>
              </w:rPr>
              <w:t xml:space="preserve">Now</w:t>
            </w:r>
          </w:p>
        </w:tc>
        <w:tc>
          <w:tcPr>
            <w:tcW w:type="dxa" w:w="733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No requirement. The Bill is not yet law.</w:t>
            </w:r>
          </w:p>
        </w:tc>
      </w:tr>
      <w:tr>
        <w:trPr>
          <w:cantSplit/>
        </w:trPr>
        <w:tc>
          <w:tcPr>
            <w:tcW w:type="dxa" w:w="230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i w:val="false"/>
                <w:iCs w:val="false"/>
                <w:color w:val="171717"/>
                <w:sz w:val="17"/>
                <w:szCs w:val="17"/>
              </w:rPr>
              <w:t xml:space="preserve">Planned</w:t>
            </w:r>
          </w:p>
        </w:tc>
        <w:tc>
          <w:tcPr>
            <w:tcW w:type="dxa" w:w="733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Voluntary phase from April 2026; mandatory from 2027 (Government implementation roadmap, 1 July 2025).</w:t>
            </w:r>
          </w:p>
        </w:tc>
      </w:tr>
      <w:tr>
        <w:trPr>
          <w:cantSplit/>
        </w:trPr>
        <w:tc>
          <w:tcPr>
            <w:tcW w:type="dxa" w:w="230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i w:val="false"/>
                <w:iCs w:val="false"/>
                <w:color w:val="171717"/>
                <w:sz w:val="17"/>
                <w:szCs w:val="17"/>
              </w:rPr>
              <w:t xml:space="preserve">Content</w:t>
            </w:r>
          </w:p>
        </w:tc>
        <w:tc>
          <w:tcPr>
            <w:tcW w:type="dxa" w:w="733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Actions on gender equality, including supporting employees through the menopause. Detail to be set by regulations.</w:t>
            </w:r>
          </w:p>
        </w:tc>
      </w:tr>
    </w:tbl>
    <w:p>
      <w:pPr>
        <w:keepNext w:val="false"/>
        <w:spacing w:after="120"/>
      </w:pPr>
    </w:p>
    <w:p>
      <w:pPr>
        <w:keepNext/>
        <w:spacing w:after="80" w:before="240" w:line="264"/>
        <w:outlineLvl w:val="1"/>
      </w:pPr>
      <w:r>
        <w:rPr>
          <w:rFonts w:ascii="Gazpacho" w:cs="Gazpacho" w:eastAsia="Gazpacho" w:hAnsi="Gazpacho"/>
          <w:i w:val="false"/>
          <w:iCs w:val="false"/>
          <w:color w:val="171717"/>
          <w:sz w:val="26"/>
          <w:szCs w:val="26"/>
        </w:rPr>
        <w:t xml:space="preserve">Sources</w:t>
      </w:r>
    </w:p>
    <w:p>
      <w:pPr>
        <w:keepNext/>
        <w:spacing w:after="120" w:line="312"/>
      </w:pPr>
      <w:r>
        <w:rPr>
          <w:rFonts w:ascii="Montserrat" w:cs="Montserrat" w:eastAsia="Montserrat" w:hAnsi="Montserrat"/>
          <w:i w:val="false"/>
          <w:iCs w:val="false"/>
          <w:color w:val="171717"/>
          <w:sz w:val="19"/>
          <w:szCs w:val="19"/>
        </w:rPr>
        <w:t xml:space="preserve">Sources as they stood at 5 November 2025. Re-check the legal position before you present.</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28"/>
        <w:gridCol w:w="5709"/>
      </w:tblGrid>
      <w:tr>
        <w:trPr>
          <w:cantSplit/>
          <w:tblHeader/>
        </w:trPr>
        <w:tc>
          <w:tcPr>
            <w:tcW w:type="dxa" w:w="3928"/>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SOURCE</w:t>
            </w:r>
          </w:p>
        </w:tc>
        <w:tc>
          <w:tcPr>
            <w:tcW w:type="dxa" w:w="5709"/>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WHAT IT SUPPORTS</w:t>
            </w:r>
          </w:p>
        </w:tc>
      </w:tr>
      <w:tr>
        <w:trPr>
          <w:cantSplit/>
        </w:trPr>
        <w:tc>
          <w:tcPr>
            <w:tcW w:type="dxa" w:w="392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CIPD, </w:t>
            </w:r>
            <w:r>
              <w:rPr>
                <w:rFonts w:ascii="Montserrat" w:cs="Montserrat" w:eastAsia="Montserrat" w:hAnsi="Montserrat"/>
                <w:i/>
                <w:iCs/>
                <w:color w:val="171717"/>
                <w:sz w:val="17"/>
                <w:szCs w:val="17"/>
              </w:rPr>
              <w:t xml:space="preserve">Menopause in the workplace: employee experiences in 2023</w:t>
            </w:r>
            <w:r>
              <w:rPr>
                <w:rFonts w:ascii="Montserrat" w:cs="Montserrat" w:eastAsia="Montserrat" w:hAnsi="Montserrat"/>
                <w:i w:val="false"/>
                <w:iCs w:val="false"/>
                <w:color w:val="171717"/>
                <w:sz w:val="17"/>
                <w:szCs w:val="17"/>
              </w:rPr>
              <w:t xml:space="preserve"> (4 October 2023)</w:t>
            </w:r>
          </w:p>
        </w:tc>
        <w:tc>
          <w:tcPr>
            <w:tcW w:type="dxa" w:w="570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2,185 women aged 40 to 60 in UK employment. Of the 1,531 with menopause symptoms, 17% considered leaving and a further 6% left due to a lack of support; 27% of those with symptoms reported a negative career impact (19% quite, 8% very); flexible working and temperature control offered by 26% and 25%.</w:t>
            </w:r>
          </w:p>
        </w:tc>
      </w:tr>
      <w:tr>
        <w:trPr>
          <w:cantSplit/>
        </w:trPr>
        <w:tc>
          <w:tcPr>
            <w:tcW w:type="dxa" w:w="392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Fawcett Society, </w:t>
            </w:r>
            <w:r>
              <w:rPr>
                <w:rFonts w:ascii="Montserrat" w:cs="Montserrat" w:eastAsia="Montserrat" w:hAnsi="Montserrat"/>
                <w:i/>
                <w:iCs/>
                <w:color w:val="171717"/>
                <w:sz w:val="17"/>
                <w:szCs w:val="17"/>
              </w:rPr>
              <w:t xml:space="preserve">Menopause and the Workplace</w:t>
            </w:r>
            <w:r>
              <w:rPr>
                <w:rFonts w:ascii="Montserrat" w:cs="Montserrat" w:eastAsia="Montserrat" w:hAnsi="Montserrat"/>
                <w:i w:val="false"/>
                <w:iCs w:val="false"/>
                <w:color w:val="171717"/>
                <w:sz w:val="17"/>
                <w:szCs w:val="17"/>
              </w:rPr>
              <w:t xml:space="preserve"> (2 May 2022)</w:t>
            </w:r>
          </w:p>
        </w:tc>
        <w:tc>
          <w:tcPr>
            <w:tcW w:type="dxa" w:w="570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4,014 UK women aged 45 to 55 (Savanta ComRes for Channel 4): one in ten who worked during the menopause left a job due to symptoms; eight in ten said their employer had not shared information or trained staff.</w:t>
            </w:r>
          </w:p>
        </w:tc>
      </w:tr>
      <w:tr>
        <w:trPr>
          <w:cantSplit/>
        </w:trPr>
        <w:tc>
          <w:tcPr>
            <w:tcW w:type="dxa" w:w="392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Government Office for Science, </w:t>
            </w:r>
            <w:r>
              <w:rPr>
                <w:rFonts w:ascii="Montserrat" w:cs="Montserrat" w:eastAsia="Montserrat" w:hAnsi="Montserrat"/>
                <w:i/>
                <w:iCs/>
                <w:color w:val="171717"/>
                <w:sz w:val="17"/>
                <w:szCs w:val="17"/>
              </w:rPr>
              <w:t xml:space="preserve">Menopause and workplace productivity</w:t>
            </w:r>
            <w:r>
              <w:rPr>
                <w:rFonts w:ascii="Montserrat" w:cs="Montserrat" w:eastAsia="Montserrat" w:hAnsi="Montserrat"/>
                <w:i w:val="false"/>
                <w:iCs w:val="false"/>
                <w:color w:val="171717"/>
                <w:sz w:val="17"/>
                <w:szCs w:val="17"/>
              </w:rPr>
              <w:t xml:space="preserve"> (published 20 August 2024)</w:t>
            </w:r>
          </w:p>
        </w:tc>
        <w:tc>
          <w:tcPr>
            <w:tcW w:type="dxa" w:w="570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Notes of an expert roundtable (23 May 2024), stating participants’ views, not Government policy. Early and severe menopause can reduce productivity and time in employment; a lack of research on workplace interventions.</w:t>
            </w:r>
          </w:p>
        </w:tc>
      </w:tr>
      <w:tr>
        <w:trPr>
          <w:cantSplit/>
        </w:trPr>
        <w:tc>
          <w:tcPr>
            <w:tcW w:type="dxa" w:w="392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Acas, </w:t>
            </w:r>
            <w:r>
              <w:rPr>
                <w:rFonts w:ascii="Montserrat" w:cs="Montserrat" w:eastAsia="Montserrat" w:hAnsi="Montserrat"/>
                <w:i/>
                <w:iCs/>
                <w:color w:val="171717"/>
                <w:sz w:val="17"/>
                <w:szCs w:val="17"/>
              </w:rPr>
              <w:t xml:space="preserve">Menopause at work</w:t>
            </w:r>
            <w:r>
              <w:rPr>
                <w:rFonts w:ascii="Montserrat" w:cs="Montserrat" w:eastAsia="Montserrat" w:hAnsi="Montserrat"/>
                <w:i w:val="false"/>
                <w:iCs w:val="false"/>
                <w:color w:val="171717"/>
                <w:sz w:val="17"/>
                <w:szCs w:val="17"/>
              </w:rPr>
              <w:t xml:space="preserve">; EHRC, </w:t>
            </w:r>
            <w:r>
              <w:rPr>
                <w:rFonts w:ascii="Montserrat" w:cs="Montserrat" w:eastAsia="Montserrat" w:hAnsi="Montserrat"/>
                <w:i/>
                <w:iCs/>
                <w:color w:val="171717"/>
                <w:sz w:val="17"/>
                <w:szCs w:val="17"/>
              </w:rPr>
              <w:t xml:space="preserve">Menopause in the workplace: guidance for employers</w:t>
            </w:r>
            <w:r>
              <w:rPr>
                <w:rFonts w:ascii="Montserrat" w:cs="Montserrat" w:eastAsia="Montserrat" w:hAnsi="Montserrat"/>
                <w:i w:val="false"/>
                <w:iCs w:val="false"/>
                <w:color w:val="171717"/>
                <w:sz w:val="17"/>
                <w:szCs w:val="17"/>
              </w:rPr>
              <w:t xml:space="preserve"> (February 2024)</w:t>
            </w:r>
          </w:p>
        </w:tc>
        <w:tc>
          <w:tcPr>
            <w:tcW w:type="dxa" w:w="570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Legal position; the policy, training, adjustments, absence recording, risk assessment and named contact components.</w:t>
            </w:r>
          </w:p>
        </w:tc>
      </w:tr>
      <w:tr>
        <w:trPr>
          <w:cantSplit/>
        </w:trPr>
        <w:tc>
          <w:tcPr>
            <w:tcW w:type="dxa" w:w="392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GOV.UK, </w:t>
            </w:r>
            <w:r>
              <w:rPr>
                <w:rFonts w:ascii="Montserrat" w:cs="Montserrat" w:eastAsia="Montserrat" w:hAnsi="Montserrat"/>
                <w:i/>
                <w:iCs/>
                <w:color w:val="171717"/>
                <w:sz w:val="17"/>
                <w:szCs w:val="17"/>
              </w:rPr>
              <w:t xml:space="preserve">Implementing the Employment Rights Bill: our roadmap for delivering change</w:t>
            </w:r>
            <w:r>
              <w:rPr>
                <w:rFonts w:ascii="Montserrat" w:cs="Montserrat" w:eastAsia="Montserrat" w:hAnsi="Montserrat"/>
                <w:i w:val="false"/>
                <w:iCs w:val="false"/>
                <w:color w:val="171717"/>
                <w:sz w:val="17"/>
                <w:szCs w:val="17"/>
              </w:rPr>
              <w:t xml:space="preserve"> (1 July 2025); Health and Safety at Work etc. Act 1974</w:t>
            </w:r>
          </w:p>
        </w:tc>
        <w:tc>
          <w:tcPr>
            <w:tcW w:type="dxa" w:w="570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Planned action plan timetable; general health and safety duty.</w:t>
            </w:r>
          </w:p>
        </w:tc>
      </w:tr>
    </w:tbl>
    <w:p>
      <w:pPr>
        <w:keepNext w:val="false"/>
        <w:spacing w:after="120"/>
      </w:pPr>
    </w:p>
    <w:p>
      <w:pPr>
        <w:keepNext w:val="false"/>
        <w:spacing w:after="120" w:line="312"/>
      </w:pPr>
      <w:r>
        <w:rPr>
          <w:rFonts w:ascii="Montserrat" w:cs="Montserrat" w:eastAsia="Montserrat" w:hAnsi="Montserrat"/>
          <w:b/>
          <w:bCs/>
          <w:i w:val="false"/>
          <w:iCs w:val="false"/>
          <w:color w:val="171717"/>
          <w:sz w:val="19"/>
          <w:szCs w:val="19"/>
        </w:rPr>
        <w:t xml:space="preserve">Superseded edition, kept for reference. Do not use for current decisions.</w:t>
      </w:r>
    </w:p>
    <w:p>
      <w:pPr>
        <w:spacing w:after="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none" w:color="FFFFFF" w:sz="0"/>
              <w:left w:val="none" w:color="FFFFFF" w:sz="0"/>
              <w:bottom w:val="none" w:color="FFFFFF" w:sz="0"/>
              <w:right w:val="none" w:color="FFFFFF" w:sz="0"/>
            </w:tcBorders>
            <w:tcMar>
              <w:top w:type="dxa" w:w="113"/>
              <w:left w:type="dxa" w:w="0"/>
              <w:bottom w:type="dxa" w:w="0"/>
              <w:right w:type="dxa" w:w="0"/>
            </w:tcMar>
          </w:tcPr>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none" w:color="FFFFFF" w:sz="0"/>
                    <w:left w:val="none" w:color="FFFFFF" w:sz="0"/>
                    <w:bottom w:val="none" w:color="FFFFFF" w:sz="0"/>
                    <w:right w:val="none" w:color="FFFFFF" w:sz="0"/>
                  </w:tcBorders>
                  <w:shd w:fill="171717" w:color="auto" w:val="clear"/>
                  <w:tcMar>
                    <w:top w:type="dxa" w:w="255"/>
                    <w:left w:type="dxa" w:w="312"/>
                    <w:bottom w:type="dxa" w:w="227"/>
                    <w:right w:type="dxa" w:w="312"/>
                  </w:tcMar>
                </w:tcPr>
                <w:p>
                  <w:pPr>
                    <w:spacing w:after="80"/>
                  </w:pPr>
                  <w:r>
                    <w:rPr>
                      <w:rFonts w:ascii="Montserrat" w:cs="Montserrat" w:eastAsia="Montserrat" w:hAnsi="Montserrat"/>
                      <w:b/>
                      <w:bCs/>
                      <w:color w:val="F7F0DE"/>
                      <w:spacing w:val="20"/>
                      <w:sz w:val="14"/>
                      <w:szCs w:val="14"/>
                    </w:rPr>
                    <w:t xml:space="preserve">WHERE PERKY FITS</w:t>
                  </w:r>
                </w:p>
                <w:p>
                  <w:pPr>
                    <w:spacing w:after="100" w:line="264"/>
                  </w:pPr>
                  <w:r>
                    <w:rPr>
                      <w:rFonts w:ascii="Gazpacho" w:cs="Gazpacho" w:eastAsia="Gazpacho" w:hAnsi="Gazpacho"/>
                      <w:color w:val="F7F0DE"/>
                      <w:sz w:val="28"/>
                      <w:szCs w:val="28"/>
                    </w:rPr>
                    <w:t xml:space="preserve">Make the provision </w:t>
                  </w:r>
                  <w:r>
                    <w:rPr>
                      <w:rFonts w:ascii="Gazpacho" w:cs="Gazpacho" w:eastAsia="Gazpacho" w:hAnsi="Gazpacho"/>
                      <w:i/>
                      <w:iCs/>
                      <w:color w:val="FF4057"/>
                      <w:sz w:val="28"/>
                      <w:szCs w:val="28"/>
                    </w:rPr>
                    <w:t xml:space="preserve">known and used</w:t>
                  </w:r>
                </w:p>
                <w:p>
                  <w:pPr>
                    <w:spacing w:after="120" w:line="290"/>
                  </w:pPr>
                  <w:r>
                    <w:rPr>
                      <w:rFonts w:ascii="Montserrat" w:cs="Montserrat" w:eastAsia="Montserrat" w:hAnsi="Montserrat"/>
                      <w:color w:val="F7F0DE"/>
                      <w:sz w:val="17"/>
                      <w:szCs w:val="17"/>
                    </w:rPr>
                    <w:t xml:space="preserve">Provision only retains people if they know about it and use it. Perky, the Benefit Intelligence platform, explains each benefit in plain English. Book a walkthrough to see how this provision could be communicated and tracked.</w:t>
                  </w:r>
                </w:p>
                <w:p>
                  <w:pPr>
                    <w:spacing w:after="0"/>
                  </w:pPr>
                  <w:hyperlink w:history="1" r:id="rIdkadg8rhwcv0lnjwp2kqzo">
                    <w:r>
                      <w:rPr>
                        <w:rFonts w:ascii="Montserrat" w:cs="Montserrat" w:eastAsia="Montserrat" w:hAnsi="Montserrat"/>
                        <w:b/>
                        <w:bCs/>
                        <w:color w:val="F7F0DE"/>
                        <w:sz w:val="17"/>
                        <w:szCs w:val="17"/>
                        <w:u w:val="single"/>
                      </w:rPr>
                      <w:t xml:space="preserve">perkybenefits.co.uk/book-a-demo</w:t>
                    </w:r>
                  </w:hyperlink>
                </w:p>
              </w:tc>
            </w:tr>
          </w:tbl>
          <w:p>
            <w:pPr>
              <w:spacing w:after="0" w:before="160"/>
            </w:pPr>
          </w:p>
          <w:p>
            <w:pPr>
              <w:pBdr>
                <w:top w:val="single" w:color="E1E0DD" w:sz="4" w:space="6"/>
              </w:pBdr>
              <w:spacing w:after="0" w:line="276"/>
            </w:pPr>
            <w:r>
              <w:rPr>
                <w:rFonts w:ascii="Montserrat" w:cs="Montserrat" w:eastAsia="Montserrat" w:hAnsi="Montserrat"/>
                <w:color w:val="5D5D5C"/>
                <w:sz w:val="15"/>
                <w:szCs w:val="15"/>
              </w:rPr>
              <w:t xml:space="preserve">Published by Perky Limited for general information only. It is not intended to be relied on and is not financial, tax, accounting or legal advice. It should not replace advice from your organisation's own advisers. Perky Benefits is the trading name of Perky Limited, a company registered in England &amp; Wales with company number 16666581 and registered address at 71–75 Shelton Street, London, WC2H 9JQ. © 2026 Perky Limited.</w:t>
            </w:r>
          </w:p>
        </w:tc>
      </w:tr>
    </w:tbl>
    <w:sectPr>
      <w:headerReference w:type="default" r:id="rId6"/>
      <w:headerReference w:type="first" r:id="rId7"/>
      <w:footerReference w:type="default" r:id="rId8"/>
      <w:footerReference w:type="first" r:id="rId9"/>
      <w:pgSz w:w="11906" w:h="16838" w:orient="portrait"/>
      <w:pgMar w:top="1247" w:right="1134" w:bottom="1134" w:left="1134" w:header="0" w:footer="51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tserrat">
    <w:altName w:val="Arial"/>
    <w:family w:val="swiss"/>
    <w:pitch w:val="variable"/>
    <w:sig w:usb0="E0002AFF" w:usb1="C000247B" w:usb2="00000009" w:usb3="00000000" w:csb0="000001FF" w:csb1="00000000"/>
    <w:embedRegular r:id="rId1" w:fontKey="{B95655D8-40F9-5993-3AF9-4AC5DE7DA75A}"/>
    <w:embedBold r:id="rId2" w:fontKey="{201A5479-80BD-2011-5B54-26B38D36E2BD}"/>
  </w:font>
  <w:font w:name="Gazpacho">
    <w:altName w:val="Georgia"/>
    <w:family w:val="roman"/>
    <w:pitch w:val="variable"/>
    <w:sig w:usb0="E0002AFF" w:usb1="C000247B" w:usb2="00000009" w:usb3="00000000" w:csb0="000001FF" w:csb1="00000000"/>
    <w:embedRegular r:id="rId3" w:fontKey="{84397497-BA26-5831-F920-769AD8740BDD}"/>
    <w:embedItalic r:id="rId4" w:fontKey="{37355B41-66B2-F9B1-FEE8-253C85DDA2D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0DD" w:sz="4" w:space="6"/>
      </w:pBdr>
      <w:tabs>
        <w:tab w:val="right" w:pos="9638"/>
      </w:tabs>
    </w:pPr>
    <w:r>
      <w:rPr>
        <w:rFonts w:ascii="Montserrat" w:cs="Montserrat" w:eastAsia="Montserrat" w:hAnsi="Montserrat"/>
        <w:color w:val="5D5D5C"/>
        <w:sz w:val="14"/>
        <w:szCs w:val="14"/>
      </w:rPr>
      <w:t xml:space="preserve">Perky Benefits · perkybenefits.co.uk</w:t>
    </w:r>
    <w:r>
      <w:rPr>
        <w:rFonts w:ascii="Montserrat" w:cs="Montserrat" w:eastAsia="Montserrat" w:hAnsi="Montserrat"/>
        <w:color w:val="5D5D5C"/>
        <w:sz w:val="14"/>
        <w:szCs w:val="14"/>
      </w:rPr>
      <w:t xml:space="preserve">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0DD" w:sz="4" w:space="6"/>
      </w:pBdr>
      <w:tabs>
        <w:tab w:val="right" w:pos="9638"/>
      </w:tabs>
    </w:pPr>
    <w:r>
      <w:rPr>
        <w:rFonts w:ascii="Montserrat" w:cs="Montserrat" w:eastAsia="Montserrat" w:hAnsi="Montserrat"/>
        <w:color w:val="5D5D5C"/>
        <w:sz w:val="14"/>
        <w:szCs w:val="14"/>
      </w:rPr>
      <w:t xml:space="preserve">Perky Benefits · perkybenefits.co.uk</w:t>
    </w:r>
    <w:r>
      <w:rPr>
        <w:rFonts w:ascii="Montserrat" w:cs="Montserrat" w:eastAsia="Montserrat" w:hAnsi="Montserrat"/>
        <w:color w:val="5D5D5C"/>
        <w:sz w:val="14"/>
        <w:szCs w:val="14"/>
      </w:rPr>
      <w:t xml:space="preserve">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0DD" w:sz="4" w:space="6"/>
      </w:pBdr>
      <w:tabs>
        <w:tab w:val="right" w:pos="9638"/>
      </w:tabs>
      <w:spacing w:before="510"/>
    </w:pPr>
    <w:r>
      <w:drawing>
        <wp:inline distT="0" distB="0" distL="0" distR="0">
          <wp:extent cx="933450" cy="304800"/>
          <wp:effectExtent t="0" r="0" b="0" l="0"/>
          <wp:docPr id="2" name="Perky Benefits" descr="Perky Benefits" title="Perky Benef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33450" cy="304800"/>
                  </a:xfrm>
                  <a:prstGeom prst="rect">
                    <a:avLst/>
                  </a:prstGeom>
                </pic:spPr>
              </pic:pic>
            </a:graphicData>
          </a:graphic>
        </wp:inline>
      </w:drawing>
    </w:r>
    <w:r>
      <w:rPr>
        <w:rFonts w:ascii="Montserrat" w:cs="Montserrat" w:eastAsia="Montserrat" w:hAnsi="Montserrat"/>
        <w:b/>
        <w:bCs/>
        <w:color w:val="171717"/>
        <w:spacing w:val="4"/>
        <w:sz w:val="13"/>
        <w:szCs w:val="13"/>
      </w:rPr>
      <w:t xml:space="preserve">	</w:t>
      <w:t xml:space="preserve">MENOPAUSE BOARD BUSINESS CASE TEMPLATE · SUPERSEDED EDITION, AS AT 5 NOVEMBER 2025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1906"/>
      <w:tblInd w:type="dxa" w:w="-113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906"/>
    </w:tblGrid>
    <w:tr>
      <w:trPr>
        <w:cantSplit/>
      </w:trPr>
      <w:tc>
        <w:tcPr>
          <w:tcW w:type="dxa" w:w="11906"/>
          <w:tcBorders>
            <w:top w:val="none" w:color="FFFFFF" w:sz="0"/>
            <w:left w:val="none" w:color="FFFFFF" w:sz="0"/>
            <w:bottom w:val="none" w:color="FFFFFF" w:sz="0"/>
            <w:right w:val="none" w:color="FFFFFF" w:sz="0"/>
          </w:tcBorders>
          <w:shd w:fill="171717" w:color="auto" w:val="clear"/>
          <w:tcMar>
            <w:top w:type="dxa" w:w="136"/>
            <w:left w:type="dxa" w:w="1134"/>
            <w:bottom w:type="dxa" w:w="136"/>
            <w:right w:type="dxa" w:w="1134"/>
          </w:tcMar>
        </w:tcPr>
        <w:p>
          <w:pPr>
            <w:spacing w:after="0" w:before="0" w:line="276"/>
          </w:pPr>
          <w:r>
            <w:rPr>
              <w:rFonts w:ascii="Montserrat" w:cs="Montserrat" w:eastAsia="Montserrat" w:hAnsi="Montserrat"/>
              <w:b/>
              <w:bCs/>
              <w:color w:val="F7F0DE"/>
              <w:spacing w:val="20"/>
              <w:sz w:val="14"/>
              <w:szCs w:val="14"/>
            </w:rPr>
            <w:t xml:space="preserve">SUPERSEDED</w:t>
          </w:r>
          <w:r>
            <w:rPr>
              <w:rFonts w:ascii="Montserrat" w:cs="Montserrat" w:eastAsia="Montserrat" w:hAnsi="Montserrat"/>
              <w:color w:val="F7F0DE"/>
              <w:sz w:val="15"/>
              <w:szCs w:val="15"/>
            </w:rPr>
            <w:t xml:space="preserve">  ·  Accurate as at 5 November 2025. This edition reflects the rules and rates in force when “Menopause is an Economic Issue: The Retention Argument Your Board Hasn't Heard Yet” was published. View the latest version: </w:t>
          </w:r>
          <w:hyperlink w:history="1" r:id="rId4n2wkjrhiogzqsiuy_fid">
            <w:r>
              <w:rPr>
                <w:rFonts w:ascii="Montserrat" w:cs="Montserrat" w:eastAsia="Montserrat" w:hAnsi="Montserrat"/>
                <w:b/>
                <w:bCs/>
                <w:color w:val="F7F0DE"/>
                <w:sz w:val="15"/>
                <w:szCs w:val="15"/>
                <w:u w:val="single"/>
              </w:rPr>
              <w:t xml:space="preserve">perkybenefits.co.uk/resources/menopause-board-business-case-template</w:t>
            </w:r>
          </w:hyperlink>
        </w:p>
      </w:tc>
    </w:tr>
  </w:tbl>
  <w:p>
    <w:pPr>
      <w:spacing w:after="0" w:before="0" w:line="240"/>
      <w:ind w:left="-1134" w:right="-1134"/>
    </w:pPr>
    <w:r>
      <w:drawing>
        <wp:inline distT="0" distB="0" distL="0" distR="0">
          <wp:extent cx="7562850" cy="2276475"/>
          <wp:effectExtent t="0" r="0" b="0" l="0"/>
          <wp:docPr id="1" name="Cover" descr="Perky Benefits: Template · Board paper. Menopause board business case template." title="Menopause board business case tem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22764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40" w:hanging="283"/>
      </w:pPr>
      <w:rPr>
        <w:rFonts w:ascii="Montserrat" w:cs="Montserrat" w:eastAsia="Montserrat" w:hAnsi="Montserrat"/>
        <w:b/>
        <w:bCs/>
        <w:color w:val="FF4057"/>
      </w:rPr>
    </w:lvl>
    <w:lvl w:ilvl="1" w:tentative="1">
      <w:start w:val="1"/>
      <w:numFmt w:val="bullet"/>
      <w:lvlText w:val="–"/>
      <w:lvlJc w:val="left"/>
      <w:pPr>
        <w:ind w:left="680" w:hanging="283"/>
      </w:pPr>
      <w:rPr>
        <w:rFonts w:ascii="Montserrat" w:cs="Montserrat" w:eastAsia="Montserrat" w:hAnsi="Montserrat"/>
        <w:b/>
        <w:bCs/>
        <w:color w:val="FF4057"/>
      </w:rPr>
    </w:lvl>
    <w:lvl w:ilvl="2" w:tentative="1">
      <w:start w:val="1"/>
      <w:numFmt w:val="bullet"/>
      <w:lvlText w:val="•"/>
      <w:lvlJc w:val="left"/>
      <w:pPr>
        <w:ind w:left="1020" w:hanging="283"/>
      </w:pPr>
      <w:rPr>
        <w:rFonts w:ascii="Montserrat" w:cs="Montserrat" w:eastAsia="Montserrat" w:hAnsi="Montserrat"/>
        <w:b/>
        <w:bCs/>
        <w:color w:val="FF4057"/>
      </w:rPr>
    </w:lvl>
  </w:abstractNum>
  <w:abstractNum w:abstractNumId="3" w15:restartNumberingAfterBreak="0">
    <w:multiLevelType w:val="hybridMultilevel"/>
    <w:lvl w:ilvl="0" w:tentative="1">
      <w:start w:val="1"/>
      <w:numFmt w:val="decimal"/>
      <w:lvlText w:val="%1."/>
      <w:lvlJc w:val="left"/>
      <w:pPr>
        <w:ind w:left="340" w:hanging="283"/>
      </w:pPr>
      <w:rPr>
        <w:rFonts w:ascii="Montserrat" w:cs="Montserrat" w:eastAsia="Montserrat" w:hAnsi="Montserrat"/>
        <w:b/>
        <w:bCs/>
        <w:color w:val="FF4057"/>
      </w:rPr>
    </w:lvl>
    <w:lvl w:ilvl="1" w:tentative="1">
      <w:start w:val="1"/>
      <w:numFmt w:val="lowerLetter"/>
      <w:lvlText w:val="%2."/>
      <w:lvlJc w:val="left"/>
      <w:pPr>
        <w:ind w:left="680" w:hanging="283"/>
      </w:pPr>
      <w:rPr>
        <w:rFonts w:ascii="Montserrat" w:cs="Montserrat" w:eastAsia="Montserrat" w:hAnsi="Montserrat"/>
        <w:b/>
        <w:bCs/>
        <w:color w:val="FF4057"/>
      </w:rPr>
    </w:lvl>
    <w:lvl w:ilvl="2" w:tentative="1">
      <w:start w:val="1"/>
      <w:numFmt w:val="lowerRoman"/>
      <w:lvlText w:val="%3."/>
      <w:lvlJc w:val="left"/>
      <w:pPr>
        <w:ind w:left="1020" w:hanging="283"/>
      </w:pPr>
      <w:rPr>
        <w:rFonts w:ascii="Montserrat" w:cs="Montserrat" w:eastAsia="Montserrat" w:hAnsi="Montserrat"/>
        <w:b/>
        <w:bCs/>
        <w:color w:val="FF4057"/>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ontserrat" w:cs="Montserrat" w:eastAsia="Montserrat" w:hAnsi="Montserrat"/>
        <w:color w:val="171717"/>
        <w:sz w:val="19"/>
        <w:szCs w:val="19"/>
      </w:rPr>
    </w:rPrDefault>
    <w:pPrDefault>
      <w:pPr>
        <w:widowControl/>
        <w:spacing w:after="120" w:line="312"/>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FF4057"/>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kadg8rhwcv0lnjwp2kqzo" Type="http://schemas.openxmlformats.org/officeDocument/2006/relationships/hyperlink" Target="https://www.perkybenefits.co.uk/book-a-demo?utm_source=resource&amp;utm_medium=docx&amp;utm_campaign=menopause-board-business-case-template&amp;utm_content=as-at-2025-11-05"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166d96d9920ac854bb508d5536781ad323656e96.png"/></Relationships>
</file>

<file path=word/_rels/header2.xml.rels><?xml version="1.0" encoding="UTF-8"?><Relationships xmlns="http://schemas.openxmlformats.org/package/2006/relationships"><Relationship Id="rId4n2wkjrhiogzqsiuy_fid" Type="http://schemas.openxmlformats.org/officeDocument/2006/relationships/hyperlink" Target="https://www.perkybenefits.co.uk/resources/menopause-board-business-case-template" TargetMode="External"/><Relationship Id="rId0" Type="http://schemas.openxmlformats.org/officeDocument/2006/relationships/image" Target="media/de6c37d715d312e286a95f6c0c7f4c5e7785795a.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Perky Limited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Menopause board business case template · Superseded edition, as at 5 November 2025</dc:title>
  <dc:subject>Superseded edition. Builds the retention case for menopause provision from your own payroll data and turns it into a one- to two-page board paper. Accurate as at 5 November 2025, 2025/26 tax year, version 1.0.</dc:subject>
  <dc:creator>Perky Limited</dc:creator>
  <cp:keywords>Perky Benefits, menopause, board paper, business case, retention, replacement cost, HR template, 2025/26, superseded edition</cp:keywords>
  <dc:description>Published by Perky Limited for general information only. It is not intended to be relied on and is not financial, tax, accounting or legal advice. It should not replace advice from your organisation's own advisers.</dc:description>
  <cp:lastModifiedBy>Perky Limited</cp:lastModifiedBy>
  <cp:revision>1</cp:revision>
  <dcterms:created xsi:type="dcterms:W3CDTF">2026-10-16T10:32:10.551Z</dcterms:created>
  <dcterms:modified xsi:type="dcterms:W3CDTF">2026-10-16T10:32:10.551Z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laimer">
    <vt:lpwstr>Published by Perky Limited for general information only. It is not intended to be relied on and is not financial, tax, accounting or legal advice. It should not replace advice from your organisation's own advisers.</vt:lpwstr>
  </property>
  <property fmtid="{D5CDD505-2E9C-101B-9397-08002B2CF9AE}" pid="3" name="Rights">
    <vt:lpwstr>© 2026 Perky Limited, trading as Perky Benefits</vt:lpwstr>
  </property>
  <property fmtid="{D5CDD505-2E9C-101B-9397-08002B2CF9AE}" pid="4" name="Accurate as at">
    <vt:lpwstr>5 November 2025</vt:lpwstr>
  </property>
  <property fmtid="{D5CDD505-2E9C-101B-9397-08002B2CF9AE}" pid="5" name="Version">
    <vt:lpwstr>1.0</vt:lpwstr>
  </property>
  <property fmtid="{D5CDD505-2E9C-101B-9397-08002B2CF9AE}" pid="6" name="Edition">
    <vt:lpwstr>Superseded</vt:lpwstr>
  </property>
</Properties>
</file>